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4559" w14:textId="77777777" w:rsidR="008D705D" w:rsidRDefault="008D705D" w:rsidP="00B96749">
      <w:pPr>
        <w:jc w:val="center"/>
      </w:pPr>
    </w:p>
    <w:p w14:paraId="3074EBE3" w14:textId="4CA0A313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8D705D">
        <w:t>XXXII/292/21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0F3671AC" w:rsidR="00595717" w:rsidRPr="00692EF6" w:rsidRDefault="00543291" w:rsidP="00245291">
      <w:pPr>
        <w:jc w:val="center"/>
      </w:pPr>
      <w:r>
        <w:t>z dnia</w:t>
      </w:r>
      <w:r w:rsidR="00E2063A">
        <w:t xml:space="preserve"> 19 </w:t>
      </w:r>
      <w:r w:rsidR="007858E2">
        <w:t>kwietnia</w:t>
      </w:r>
      <w:r w:rsidR="00941583">
        <w:t xml:space="preserve"> 2021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1B98508D" w:rsidR="00D501C0" w:rsidRDefault="00F07A0B" w:rsidP="009A03F7">
      <w:r>
        <w:t xml:space="preserve">w sprawie: </w:t>
      </w:r>
      <w:r w:rsidR="009A03F7">
        <w:t xml:space="preserve">zmieniająca uchwałę w sprawie </w:t>
      </w:r>
      <w:r w:rsidR="00F90021">
        <w:t>uchwały budżetowej</w:t>
      </w:r>
      <w:r w:rsidR="00F90021" w:rsidRPr="00BE282B">
        <w:t xml:space="preserve"> gminy Czempiń na 20</w:t>
      </w:r>
      <w:r w:rsidR="00AF0F59">
        <w:t>2</w:t>
      </w:r>
      <w:r w:rsidR="00941583">
        <w:t>1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776506D5" w:rsidR="00EB6107" w:rsidRDefault="00EB6107" w:rsidP="00EB6107">
      <w:pPr>
        <w:ind w:firstLine="540"/>
        <w:jc w:val="both"/>
      </w:pPr>
      <w:r>
        <w:t xml:space="preserve">Na podstawie art. 18 ust. 2 pkt 4 ustawy z dnia 8 marca 1990r. o samorządzie gminnym </w:t>
      </w:r>
      <w:r w:rsidR="00F90021" w:rsidRPr="00C737A8">
        <w:t>(</w:t>
      </w:r>
      <w:r w:rsidR="007F7BBC" w:rsidRPr="00EB0B40">
        <w:t>Dz. U. z 20</w:t>
      </w:r>
      <w:r w:rsidR="00FB0C6E">
        <w:t>20</w:t>
      </w:r>
      <w:r w:rsidR="007F7BBC" w:rsidRPr="00EB0B40">
        <w:t xml:space="preserve">r. poz. </w:t>
      </w:r>
      <w:r w:rsidR="00FB0C6E">
        <w:t>713</w:t>
      </w:r>
      <w:r w:rsidR="00941583">
        <w:t xml:space="preserve"> z późn. zm.</w:t>
      </w:r>
      <w:r w:rsidR="00F90021" w:rsidRPr="00C737A8">
        <w:t>)</w:t>
      </w:r>
      <w:r w:rsidR="00F90021">
        <w:t xml:space="preserve"> </w:t>
      </w:r>
      <w:r>
        <w:t xml:space="preserve">oraz art. 211 i 212  ustawy z dnia 27 sierpnia 2009r. o finansach publicznych </w:t>
      </w:r>
      <w:r w:rsidR="00286745">
        <w:t xml:space="preserve">(Dz. U. z </w:t>
      </w:r>
      <w:r w:rsidR="00937C9D">
        <w:t>2021</w:t>
      </w:r>
      <w:r w:rsidR="00286745">
        <w:t>r., poz.</w:t>
      </w:r>
      <w:r w:rsidR="00937C9D">
        <w:t>305</w:t>
      </w:r>
      <w:r w:rsidR="00286745">
        <w:t xml:space="preserve">) </w:t>
      </w:r>
      <w:r w:rsidRPr="00B5425D">
        <w:t>Rada Miejska w Czempiniu uchwala, co następuje:</w:t>
      </w:r>
    </w:p>
    <w:p w14:paraId="75271A7C" w14:textId="77777777" w:rsidR="00B969C9" w:rsidRPr="00692EF6" w:rsidRDefault="00150CDB" w:rsidP="00A27D90">
      <w:pPr>
        <w:ind w:left="540" w:hanging="540"/>
      </w:pPr>
      <w:r w:rsidRPr="00692EF6">
        <w:t xml:space="preserve">      </w:t>
      </w:r>
    </w:p>
    <w:p w14:paraId="782FFB42" w14:textId="08FDF528" w:rsidR="00D501C0" w:rsidRPr="00C57EF8" w:rsidRDefault="00F8154F" w:rsidP="00895025">
      <w:pPr>
        <w:jc w:val="both"/>
      </w:pPr>
      <w:r w:rsidRPr="00692EF6">
        <w:t xml:space="preserve"> </w:t>
      </w:r>
      <w:r w:rsidR="0087639E" w:rsidRPr="00C57EF8">
        <w:rPr>
          <w:rFonts w:cs="Arial"/>
          <w:b/>
        </w:rPr>
        <w:t>§ 1</w:t>
      </w:r>
      <w:r w:rsidR="0087639E" w:rsidRPr="00C57EF8">
        <w:rPr>
          <w:b/>
        </w:rPr>
        <w:t>.</w:t>
      </w:r>
      <w:r w:rsidR="0087639E" w:rsidRPr="00C57EF8">
        <w:t xml:space="preserve"> W uchwale nr </w:t>
      </w:r>
      <w:r w:rsidR="00941583">
        <w:t>XXIX/256/20</w:t>
      </w:r>
      <w:r w:rsidR="00AF0F59">
        <w:t xml:space="preserve"> </w:t>
      </w:r>
      <w:r w:rsidR="0087639E" w:rsidRPr="00C57EF8">
        <w:t xml:space="preserve">Rady Miejskiej w Czempiniu z dnia </w:t>
      </w:r>
      <w:r w:rsidR="00941583">
        <w:t>29</w:t>
      </w:r>
      <w:r w:rsidR="00895025" w:rsidRPr="00C57EF8">
        <w:t xml:space="preserve"> grudnia</w:t>
      </w:r>
      <w:r w:rsidR="00591939" w:rsidRPr="00C57EF8">
        <w:t xml:space="preserve"> 20</w:t>
      </w:r>
      <w:r w:rsidR="00941583">
        <w:t>20</w:t>
      </w:r>
      <w:r w:rsidR="00591939" w:rsidRPr="00C57EF8">
        <w:t>r</w:t>
      </w:r>
      <w:r w:rsidR="0087639E" w:rsidRPr="00C57EF8">
        <w:t xml:space="preserve">. </w:t>
      </w:r>
      <w:r w:rsidR="00895025" w:rsidRPr="00C57EF8">
        <w:br/>
        <w:t xml:space="preserve">        </w:t>
      </w:r>
      <w:r w:rsidR="0087639E" w:rsidRPr="00C57EF8">
        <w:t xml:space="preserve">w </w:t>
      </w:r>
      <w:r w:rsidR="00895025" w:rsidRPr="00C57EF8">
        <w:t xml:space="preserve">sprawie </w:t>
      </w:r>
      <w:r w:rsidR="00F90021" w:rsidRPr="00C57EF8">
        <w:t xml:space="preserve">uchwały budżetowej </w:t>
      </w:r>
      <w:r w:rsidR="00A94473" w:rsidRPr="00C57EF8">
        <w:t>G</w:t>
      </w:r>
      <w:r w:rsidR="00F90021" w:rsidRPr="00C57EF8">
        <w:t>miny Czempiń na 20</w:t>
      </w:r>
      <w:r w:rsidR="00AF0F59">
        <w:t>2</w:t>
      </w:r>
      <w:r w:rsidR="00941583">
        <w:t>1</w:t>
      </w:r>
      <w:r w:rsidR="00F90021" w:rsidRPr="00C57EF8">
        <w:t xml:space="preserve"> </w:t>
      </w:r>
      <w:r w:rsidR="0087639E" w:rsidRPr="00C57EF8">
        <w:t>rok wprowadza się następujące</w:t>
      </w:r>
      <w:r w:rsidR="00895025" w:rsidRPr="00C57EF8">
        <w:br/>
        <w:t xml:space="preserve">    </w:t>
      </w:r>
      <w:r w:rsidR="008E5746" w:rsidRPr="00C57EF8">
        <w:t xml:space="preserve"> </w:t>
      </w:r>
      <w:r w:rsidR="00895025" w:rsidRPr="00C57EF8">
        <w:t xml:space="preserve">    </w:t>
      </w:r>
      <w:r w:rsidR="0087639E" w:rsidRPr="00C57EF8">
        <w:t xml:space="preserve">zmiany: </w:t>
      </w:r>
    </w:p>
    <w:p w14:paraId="5BB22119" w14:textId="7EECEFDE" w:rsidR="006C7676" w:rsidRDefault="006C7676" w:rsidP="006C7676">
      <w:pPr>
        <w:ind w:left="540" w:hanging="540"/>
      </w:pPr>
      <w:r w:rsidRPr="00D3069D">
        <w:t xml:space="preserve">    </w:t>
      </w:r>
    </w:p>
    <w:p w14:paraId="2781ABDF" w14:textId="77777777" w:rsidR="006D60BF" w:rsidRDefault="006D60BF" w:rsidP="006D60BF">
      <w:pPr>
        <w:numPr>
          <w:ilvl w:val="0"/>
          <w:numId w:val="1"/>
        </w:numPr>
      </w:pPr>
      <w:r w:rsidRPr="00D01993">
        <w:rPr>
          <w:rFonts w:cs="Arial"/>
        </w:rPr>
        <w:t xml:space="preserve">§ </w:t>
      </w:r>
      <w:r>
        <w:rPr>
          <w:rFonts w:cs="Arial"/>
        </w:rPr>
        <w:t>1</w:t>
      </w:r>
      <w:r w:rsidRPr="00D01993">
        <w:t xml:space="preserve"> uchwały otrzymuje brzmienie:   </w:t>
      </w:r>
    </w:p>
    <w:p w14:paraId="34AB58C3" w14:textId="77777777" w:rsidR="006D60BF" w:rsidRDefault="006D60BF" w:rsidP="006D60BF">
      <w:pPr>
        <w:ind w:left="480"/>
      </w:pPr>
    </w:p>
    <w:p w14:paraId="2C790702" w14:textId="79F958BB" w:rsidR="006D60BF" w:rsidRPr="00302109" w:rsidRDefault="006D60BF" w:rsidP="006D60BF">
      <w:pPr>
        <w:ind w:left="540" w:hanging="540"/>
      </w:pPr>
      <w:r>
        <w:rPr>
          <w:b/>
          <w:bCs/>
        </w:rPr>
        <w:tab/>
      </w:r>
      <w:r w:rsidRPr="00302109">
        <w:rPr>
          <w:b/>
          <w:bCs/>
        </w:rPr>
        <w:t xml:space="preserve">§ 1.1. </w:t>
      </w:r>
      <w:r w:rsidRPr="00302109">
        <w:t xml:space="preserve">Ustala się dochody budżetu gminy na rok 2021 w wysokości </w:t>
      </w:r>
      <w:r>
        <w:t>72.006.398,35</w:t>
      </w:r>
      <w:r w:rsidRPr="00302109">
        <w:t xml:space="preserve"> zł, z tego:</w:t>
      </w:r>
    </w:p>
    <w:p w14:paraId="3A0EAD38" w14:textId="4240E5F5" w:rsidR="006D60BF" w:rsidRPr="00302109" w:rsidRDefault="006D60BF" w:rsidP="006D60BF">
      <w:pPr>
        <w:ind w:left="540" w:hanging="540"/>
        <w:rPr>
          <w:bCs/>
        </w:rPr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bieżące  w kwocie    </w:t>
      </w:r>
      <w:r w:rsidR="00753CDA">
        <w:rPr>
          <w:bCs/>
        </w:rPr>
        <w:t>52.033.495</w:t>
      </w:r>
      <w:r>
        <w:rPr>
          <w:bCs/>
        </w:rPr>
        <w:t>,15</w:t>
      </w:r>
      <w:r w:rsidRPr="00302109">
        <w:rPr>
          <w:bCs/>
        </w:rPr>
        <w:t xml:space="preserve"> zł</w:t>
      </w:r>
    </w:p>
    <w:p w14:paraId="601820D9" w14:textId="5183DE47" w:rsidR="006D60BF" w:rsidRPr="00302109" w:rsidRDefault="006D60BF" w:rsidP="006D60BF">
      <w:pPr>
        <w:ind w:left="540" w:hanging="540"/>
      </w:pPr>
      <w:r w:rsidRPr="00302109">
        <w:rPr>
          <w:b/>
          <w:bCs/>
        </w:rPr>
        <w:t xml:space="preserve"> </w:t>
      </w:r>
      <w:r w:rsidRPr="00302109">
        <w:rPr>
          <w:b/>
          <w:bCs/>
        </w:rPr>
        <w:tab/>
        <w:t xml:space="preserve">- </w:t>
      </w:r>
      <w:r w:rsidRPr="00302109">
        <w:rPr>
          <w:bCs/>
        </w:rPr>
        <w:t xml:space="preserve">dochody majątkowe w kwocie  </w:t>
      </w:r>
      <w:r w:rsidR="00753CDA">
        <w:rPr>
          <w:bCs/>
        </w:rPr>
        <w:t>19.972.903</w:t>
      </w:r>
      <w:r>
        <w:rPr>
          <w:bCs/>
        </w:rPr>
        <w:t>,20</w:t>
      </w:r>
      <w:r w:rsidRPr="00302109">
        <w:rPr>
          <w:bCs/>
        </w:rPr>
        <w:t xml:space="preserve"> zł</w:t>
      </w:r>
    </w:p>
    <w:p w14:paraId="18B10711" w14:textId="77777777" w:rsidR="006D60BF" w:rsidRPr="00302109" w:rsidRDefault="006D60BF" w:rsidP="006D60BF">
      <w:pPr>
        <w:ind w:left="540" w:hanging="540"/>
      </w:pPr>
      <w:r w:rsidRPr="00302109">
        <w:tab/>
        <w:t xml:space="preserve">   - z</w:t>
      </w:r>
      <w:r w:rsidRPr="00302109">
        <w:rPr>
          <w:bCs/>
        </w:rPr>
        <w:t>g</w:t>
      </w:r>
      <w:r w:rsidRPr="00302109">
        <w:t>odnie z załącznikiem nr 1.</w:t>
      </w:r>
    </w:p>
    <w:p w14:paraId="5A68CFAC" w14:textId="77777777" w:rsidR="006D60BF" w:rsidRPr="00302109" w:rsidRDefault="006D60BF" w:rsidP="006D60BF">
      <w:pPr>
        <w:ind w:left="540" w:hanging="540"/>
      </w:pPr>
      <w:r w:rsidRPr="00302109">
        <w:t xml:space="preserve">      </w:t>
      </w:r>
    </w:p>
    <w:p w14:paraId="01F3D1AE" w14:textId="77777777" w:rsidR="006D60BF" w:rsidRPr="00302109" w:rsidRDefault="006D60BF" w:rsidP="006D60BF">
      <w:pPr>
        <w:ind w:left="540" w:hanging="180"/>
        <w:jc w:val="both"/>
      </w:pPr>
      <w:r w:rsidRPr="00302109">
        <w:rPr>
          <w:b/>
        </w:rPr>
        <w:t>2.</w:t>
      </w:r>
      <w:r w:rsidRPr="00302109">
        <w:t xml:space="preserve"> Dochody, o których mowa w ust.1, obejmują:</w:t>
      </w:r>
    </w:p>
    <w:p w14:paraId="01BFABAC" w14:textId="77777777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 xml:space="preserve">dochody własne   </w:t>
      </w:r>
      <w:r>
        <w:t xml:space="preserve">                                        23.149.984,02</w:t>
      </w:r>
      <w:r w:rsidRPr="00302109">
        <w:t xml:space="preserve"> zł</w:t>
      </w:r>
    </w:p>
    <w:p w14:paraId="3129A673" w14:textId="77777777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 xml:space="preserve">subwencje            </w:t>
      </w:r>
      <w:r>
        <w:t xml:space="preserve">                                        12.619.493</w:t>
      </w:r>
      <w:r w:rsidRPr="00302109">
        <w:t>,00 zł</w:t>
      </w:r>
    </w:p>
    <w:p w14:paraId="25E366C3" w14:textId="611A0E25" w:rsidR="006D60BF" w:rsidRPr="00302109" w:rsidRDefault="006D60BF" w:rsidP="006D60BF">
      <w:pPr>
        <w:numPr>
          <w:ilvl w:val="0"/>
          <w:numId w:val="2"/>
        </w:numPr>
        <w:jc w:val="both"/>
      </w:pPr>
      <w:r w:rsidRPr="00302109">
        <w:t>dotacje</w:t>
      </w:r>
      <w:r>
        <w:t xml:space="preserve"> i inne środki bezzwrotne</w:t>
      </w:r>
      <w:r w:rsidRPr="00302109">
        <w:t xml:space="preserve">                 </w:t>
      </w:r>
      <w:r w:rsidR="00753CDA">
        <w:t>36.236.921</w:t>
      </w:r>
      <w:r>
        <w:t>,33</w:t>
      </w:r>
      <w:r w:rsidRPr="00302109">
        <w:t xml:space="preserve"> zł,</w:t>
      </w:r>
    </w:p>
    <w:p w14:paraId="1FEA02A3" w14:textId="77777777" w:rsidR="006D60BF" w:rsidRPr="00D3069D" w:rsidRDefault="006D60BF" w:rsidP="006D60BF">
      <w:pPr>
        <w:numPr>
          <w:ilvl w:val="1"/>
          <w:numId w:val="2"/>
        </w:numPr>
        <w:jc w:val="both"/>
      </w:pPr>
      <w:r w:rsidRPr="00302109">
        <w:t xml:space="preserve">w tym dotacje w ramach programów finansowanych z udziałem środków europejskich </w:t>
      </w:r>
      <w:r>
        <w:t>14.429.139,38</w:t>
      </w:r>
      <w:r w:rsidRPr="00302109">
        <w:t xml:space="preserve"> zł.</w:t>
      </w:r>
      <w:r>
        <w:t>”</w:t>
      </w:r>
    </w:p>
    <w:p w14:paraId="6F73D8BD" w14:textId="77777777" w:rsidR="006D60BF" w:rsidRDefault="006D60BF" w:rsidP="006D60BF">
      <w:pPr>
        <w:ind w:left="360"/>
        <w:jc w:val="both"/>
      </w:pPr>
    </w:p>
    <w:p w14:paraId="4A4ECD56" w14:textId="77777777" w:rsidR="006D60BF" w:rsidRDefault="006D60BF" w:rsidP="006D60BF">
      <w:r>
        <w:t xml:space="preserve">  - zgodnie z załącznikiem nr 1 do niniejszej uchwały;</w:t>
      </w:r>
    </w:p>
    <w:p w14:paraId="1AC23541" w14:textId="77777777" w:rsidR="006D60BF" w:rsidRPr="006D60BF" w:rsidRDefault="006D60BF" w:rsidP="006D60BF">
      <w:pPr>
        <w:ind w:left="480"/>
      </w:pPr>
    </w:p>
    <w:p w14:paraId="4AF7C998" w14:textId="11B9AA2D" w:rsidR="00B277B4" w:rsidRPr="00D01993" w:rsidRDefault="00B277B4" w:rsidP="000C1BF7">
      <w:pPr>
        <w:numPr>
          <w:ilvl w:val="0"/>
          <w:numId w:val="1"/>
        </w:numPr>
      </w:pPr>
      <w:r w:rsidRPr="00D01993">
        <w:rPr>
          <w:rFonts w:cs="Arial"/>
        </w:rPr>
        <w:t>§ 2</w:t>
      </w:r>
      <w:r w:rsidRPr="00D01993">
        <w:t xml:space="preserve"> uchwały otrzymuje brzmienie:   </w:t>
      </w:r>
    </w:p>
    <w:p w14:paraId="1EFD9846" w14:textId="77777777" w:rsidR="00866EC3" w:rsidRDefault="00866EC3" w:rsidP="00866EC3">
      <w:pPr>
        <w:ind w:left="480"/>
      </w:pPr>
    </w:p>
    <w:p w14:paraId="362621E1" w14:textId="593C9C41" w:rsidR="00941583" w:rsidRPr="00302109" w:rsidRDefault="00866EC3" w:rsidP="00941583">
      <w:pPr>
        <w:jc w:val="both"/>
      </w:pPr>
      <w:r>
        <w:rPr>
          <w:b/>
          <w:bCs/>
        </w:rPr>
        <w:t xml:space="preserve"> </w:t>
      </w:r>
      <w:r w:rsidR="00036EC2">
        <w:rPr>
          <w:b/>
          <w:bCs/>
        </w:rPr>
        <w:t>„</w:t>
      </w:r>
      <w:r w:rsidR="00941583">
        <w:rPr>
          <w:b/>
          <w:bCs/>
        </w:rPr>
        <w:t xml:space="preserve"> </w:t>
      </w:r>
      <w:r w:rsidR="00941583" w:rsidRPr="00302109">
        <w:rPr>
          <w:b/>
          <w:bCs/>
        </w:rPr>
        <w:t>2.1.</w:t>
      </w:r>
      <w:r w:rsidR="00941583" w:rsidRPr="00302109">
        <w:rPr>
          <w:bCs/>
        </w:rPr>
        <w:t>U</w:t>
      </w:r>
      <w:r w:rsidR="00941583" w:rsidRPr="00302109">
        <w:t xml:space="preserve">stala się wydatki  budżetu gminy na 2021 rok w wysokości  </w:t>
      </w:r>
      <w:r w:rsidR="00753CDA">
        <w:t>80.907.190,09</w:t>
      </w:r>
      <w:r w:rsidR="00941583" w:rsidRPr="00302109">
        <w:t xml:space="preserve"> zł,   </w:t>
      </w:r>
    </w:p>
    <w:p w14:paraId="6FEE9265" w14:textId="77777777" w:rsidR="00941583" w:rsidRPr="00302109" w:rsidRDefault="00941583" w:rsidP="00941583">
      <w:pPr>
        <w:jc w:val="both"/>
      </w:pPr>
      <w:r w:rsidRPr="00302109">
        <w:t xml:space="preserve">      - zgodnie z załącznikiem nr 2.</w:t>
      </w:r>
    </w:p>
    <w:p w14:paraId="2E732ED8" w14:textId="77777777" w:rsidR="00941583" w:rsidRPr="00302109" w:rsidRDefault="00941583" w:rsidP="00941583">
      <w:pPr>
        <w:jc w:val="both"/>
      </w:pPr>
    </w:p>
    <w:p w14:paraId="13D8DB94" w14:textId="77777777" w:rsidR="00941583" w:rsidRPr="00302109" w:rsidRDefault="00941583" w:rsidP="00941583">
      <w:pPr>
        <w:jc w:val="both"/>
      </w:pPr>
      <w:r w:rsidRPr="00302109">
        <w:t xml:space="preserve">      </w:t>
      </w:r>
      <w:r w:rsidRPr="00302109">
        <w:rPr>
          <w:b/>
        </w:rPr>
        <w:t>2.</w:t>
      </w:r>
      <w:r w:rsidRPr="00302109">
        <w:t>Wydatki, o których mowa w ust.1, obejmują:</w:t>
      </w:r>
    </w:p>
    <w:p w14:paraId="016C7EB5" w14:textId="5FE3A93E" w:rsidR="00941583" w:rsidRPr="00302109" w:rsidRDefault="00941583" w:rsidP="00941583">
      <w:pPr>
        <w:jc w:val="both"/>
      </w:pPr>
      <w:r w:rsidRPr="00302109">
        <w:t xml:space="preserve">          1) wydatki bieżące w wysokości  </w:t>
      </w:r>
      <w:r w:rsidR="00E2063A">
        <w:t>51.</w:t>
      </w:r>
      <w:r w:rsidR="00F04378">
        <w:t>55</w:t>
      </w:r>
      <w:r w:rsidR="00E2063A">
        <w:t>7.924,81</w:t>
      </w:r>
      <w:r w:rsidRPr="00302109">
        <w:t xml:space="preserve"> zł, w tym na:  </w:t>
      </w:r>
    </w:p>
    <w:p w14:paraId="3A45933C" w14:textId="0D42AEBF" w:rsidR="00941583" w:rsidRPr="00302109" w:rsidRDefault="00941583" w:rsidP="00941583">
      <w:pPr>
        <w:jc w:val="both"/>
      </w:pPr>
      <w:r w:rsidRPr="00302109">
        <w:t xml:space="preserve">              a) wynagrodzenia i pochodne od wynagrodzeń                                   </w:t>
      </w:r>
      <w:r w:rsidR="00E2063A">
        <w:t>18.643.613,18</w:t>
      </w:r>
      <w:r w:rsidRPr="00302109">
        <w:t xml:space="preserve"> zł</w:t>
      </w:r>
    </w:p>
    <w:p w14:paraId="1A2E4875" w14:textId="285089F2" w:rsidR="00941583" w:rsidRPr="00302109" w:rsidRDefault="00941583" w:rsidP="00941583">
      <w:pPr>
        <w:jc w:val="both"/>
      </w:pPr>
      <w:r w:rsidRPr="00302109">
        <w:tab/>
        <w:t xml:space="preserve">  b) świadczenia na rzecz osób fizycznych                                             </w:t>
      </w:r>
      <w:r w:rsidR="00E2063A">
        <w:t>18.704.211,13</w:t>
      </w:r>
      <w:r w:rsidRPr="00302109">
        <w:t xml:space="preserve"> zł</w:t>
      </w:r>
    </w:p>
    <w:p w14:paraId="7C9E5F68" w14:textId="04D49AA6" w:rsidR="00941583" w:rsidRPr="00302109" w:rsidRDefault="00941583" w:rsidP="00941583">
      <w:pPr>
        <w:jc w:val="both"/>
      </w:pPr>
      <w:r w:rsidRPr="00302109">
        <w:t xml:space="preserve">              c) dotacje                                                                                                </w:t>
      </w:r>
      <w:r w:rsidR="00BD5F1D">
        <w:t>2.</w:t>
      </w:r>
      <w:r w:rsidR="00E303D9">
        <w:t>2</w:t>
      </w:r>
      <w:r w:rsidR="00B53B8A">
        <w:t>6</w:t>
      </w:r>
      <w:r w:rsidR="00E303D9">
        <w:t>5</w:t>
      </w:r>
      <w:r w:rsidR="00BD5F1D">
        <w:t>.213,77</w:t>
      </w:r>
      <w:r w:rsidRPr="00302109">
        <w:t xml:space="preserve"> zł</w:t>
      </w:r>
    </w:p>
    <w:p w14:paraId="62BF0DBE" w14:textId="77777777" w:rsidR="00941583" w:rsidRPr="00302109" w:rsidRDefault="00941583" w:rsidP="00941583">
      <w:pPr>
        <w:jc w:val="both"/>
      </w:pPr>
      <w:r w:rsidRPr="00302109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412"/>
        <w:gridCol w:w="254"/>
        <w:gridCol w:w="1559"/>
      </w:tblGrid>
      <w:tr w:rsidR="00941583" w:rsidRPr="00302109" w14:paraId="76B103FF" w14:textId="77777777" w:rsidTr="00BD5F1D">
        <w:trPr>
          <w:trHeight w:val="349"/>
        </w:trPr>
        <w:tc>
          <w:tcPr>
            <w:tcW w:w="6412" w:type="dxa"/>
            <w:shd w:val="clear" w:color="auto" w:fill="auto"/>
          </w:tcPr>
          <w:p w14:paraId="567F20B1" w14:textId="77777777" w:rsidR="00941583" w:rsidRPr="00302109" w:rsidRDefault="00941583" w:rsidP="00B20D3F">
            <w:pPr>
              <w:jc w:val="both"/>
            </w:pPr>
            <w:r w:rsidRPr="00302109">
              <w:t>- podmiotowe dla instytucji kultury</w:t>
            </w:r>
          </w:p>
        </w:tc>
        <w:tc>
          <w:tcPr>
            <w:tcW w:w="1813" w:type="dxa"/>
            <w:gridSpan w:val="2"/>
            <w:shd w:val="clear" w:color="auto" w:fill="auto"/>
          </w:tcPr>
          <w:p w14:paraId="66160B01" w14:textId="0C8434EE" w:rsidR="00941583" w:rsidRPr="00302109" w:rsidRDefault="00E303D9" w:rsidP="00B20D3F">
            <w:pPr>
              <w:jc w:val="right"/>
            </w:pPr>
            <w:r>
              <w:t>971</w:t>
            </w:r>
            <w:r w:rsidR="00BD5F1D">
              <w:t>.740</w:t>
            </w:r>
            <w:r w:rsidR="00941583" w:rsidRPr="00302109">
              <w:t>,00 zł</w:t>
            </w:r>
          </w:p>
        </w:tc>
      </w:tr>
      <w:tr w:rsidR="00941583" w:rsidRPr="00302109" w14:paraId="09F8A46A" w14:textId="77777777" w:rsidTr="00BD5F1D">
        <w:trPr>
          <w:trHeight w:val="426"/>
        </w:trPr>
        <w:tc>
          <w:tcPr>
            <w:tcW w:w="6666" w:type="dxa"/>
            <w:gridSpan w:val="2"/>
            <w:shd w:val="clear" w:color="auto" w:fill="auto"/>
          </w:tcPr>
          <w:p w14:paraId="7FF33748" w14:textId="77777777" w:rsidR="00941583" w:rsidRPr="00302109" w:rsidRDefault="00941583" w:rsidP="00B20D3F">
            <w:pPr>
              <w:jc w:val="both"/>
            </w:pPr>
            <w:r w:rsidRPr="00302109">
              <w:t xml:space="preserve">- podmiotowe dla jednostek spoza sektora fin. publicznych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309CC9DB" w14:textId="77777777" w:rsidR="00941583" w:rsidRPr="00302109" w:rsidRDefault="00941583" w:rsidP="00B20D3F">
            <w:pPr>
              <w:jc w:val="right"/>
            </w:pPr>
            <w:r w:rsidRPr="00302109">
              <w:t>35.000,00 zł</w:t>
            </w:r>
          </w:p>
        </w:tc>
      </w:tr>
      <w:tr w:rsidR="00941583" w:rsidRPr="00302109" w14:paraId="6E383D26" w14:textId="77777777" w:rsidTr="00BD5F1D">
        <w:trPr>
          <w:trHeight w:val="424"/>
        </w:trPr>
        <w:tc>
          <w:tcPr>
            <w:tcW w:w="6666" w:type="dxa"/>
            <w:gridSpan w:val="2"/>
            <w:shd w:val="clear" w:color="auto" w:fill="auto"/>
          </w:tcPr>
          <w:p w14:paraId="22C81F6C" w14:textId="77777777" w:rsidR="00941583" w:rsidRPr="00302109" w:rsidRDefault="00941583" w:rsidP="00B20D3F">
            <w:pPr>
              <w:jc w:val="both"/>
            </w:pPr>
            <w:r w:rsidRPr="00302109">
              <w:t xml:space="preserve">- dla stowarzyszeń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14:paraId="726A2C73" w14:textId="77777777" w:rsidR="00941583" w:rsidRPr="00302109" w:rsidRDefault="00941583" w:rsidP="00B20D3F">
            <w:pPr>
              <w:jc w:val="right"/>
            </w:pPr>
            <w:r w:rsidRPr="00302109">
              <w:t>267.000,00 zł</w:t>
            </w:r>
          </w:p>
        </w:tc>
      </w:tr>
      <w:tr w:rsidR="00941583" w:rsidRPr="00302109" w14:paraId="3477E971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7E8EC0EE" w14:textId="77777777" w:rsidR="00941583" w:rsidRPr="00302109" w:rsidRDefault="00941583" w:rsidP="00B20D3F">
            <w:pPr>
              <w:jc w:val="both"/>
            </w:pPr>
            <w:r w:rsidRPr="00302109">
              <w:t>- dla spółki wodnej</w:t>
            </w:r>
          </w:p>
        </w:tc>
        <w:tc>
          <w:tcPr>
            <w:tcW w:w="1559" w:type="dxa"/>
            <w:shd w:val="clear" w:color="auto" w:fill="auto"/>
          </w:tcPr>
          <w:p w14:paraId="458C5A7B" w14:textId="77777777" w:rsidR="00941583" w:rsidRPr="00302109" w:rsidRDefault="00941583" w:rsidP="00B20D3F">
            <w:pPr>
              <w:jc w:val="right"/>
            </w:pPr>
            <w:r w:rsidRPr="00302109">
              <w:t>20.000,00 zł</w:t>
            </w:r>
          </w:p>
        </w:tc>
      </w:tr>
      <w:tr w:rsidR="00941583" w:rsidRPr="00302109" w14:paraId="6CB8620F" w14:textId="77777777" w:rsidTr="00BD5F1D">
        <w:trPr>
          <w:trHeight w:val="435"/>
        </w:trPr>
        <w:tc>
          <w:tcPr>
            <w:tcW w:w="6666" w:type="dxa"/>
            <w:gridSpan w:val="2"/>
            <w:shd w:val="clear" w:color="auto" w:fill="auto"/>
          </w:tcPr>
          <w:p w14:paraId="774355D6" w14:textId="77777777" w:rsidR="00941583" w:rsidRPr="00302109" w:rsidRDefault="00941583" w:rsidP="00B20D3F">
            <w:pPr>
              <w:jc w:val="both"/>
            </w:pPr>
            <w:r w:rsidRPr="00302109">
              <w:t>- przekazane gminie na zadania bieżące</w:t>
            </w:r>
          </w:p>
        </w:tc>
        <w:tc>
          <w:tcPr>
            <w:tcW w:w="1559" w:type="dxa"/>
            <w:shd w:val="clear" w:color="auto" w:fill="auto"/>
          </w:tcPr>
          <w:p w14:paraId="6D40DF03" w14:textId="77777777" w:rsidR="00941583" w:rsidRPr="00302109" w:rsidRDefault="00941583" w:rsidP="00B20D3F">
            <w:pPr>
              <w:jc w:val="right"/>
            </w:pPr>
            <w:r w:rsidRPr="00302109">
              <w:t>60.832,80 zł</w:t>
            </w:r>
          </w:p>
        </w:tc>
      </w:tr>
      <w:tr w:rsidR="00941583" w:rsidRPr="00302109" w14:paraId="09CFD628" w14:textId="77777777" w:rsidTr="00BD5F1D">
        <w:trPr>
          <w:trHeight w:val="420"/>
        </w:trPr>
        <w:tc>
          <w:tcPr>
            <w:tcW w:w="6666" w:type="dxa"/>
            <w:gridSpan w:val="2"/>
            <w:shd w:val="clear" w:color="auto" w:fill="auto"/>
          </w:tcPr>
          <w:p w14:paraId="7896CFE8" w14:textId="77777777" w:rsidR="00941583" w:rsidRPr="00302109" w:rsidRDefault="00941583" w:rsidP="00B20D3F">
            <w:pPr>
              <w:jc w:val="both"/>
            </w:pPr>
            <w:r w:rsidRPr="00302109">
              <w:lastRenderedPageBreak/>
              <w:t xml:space="preserve">- dla niepublicznej jednostki systemu oświaty                         </w:t>
            </w:r>
          </w:p>
        </w:tc>
        <w:tc>
          <w:tcPr>
            <w:tcW w:w="1559" w:type="dxa"/>
            <w:shd w:val="clear" w:color="auto" w:fill="auto"/>
          </w:tcPr>
          <w:p w14:paraId="4CB2FE3A" w14:textId="77777777" w:rsidR="00941583" w:rsidRPr="00302109" w:rsidRDefault="00941583" w:rsidP="00B20D3F">
            <w:pPr>
              <w:jc w:val="right"/>
            </w:pPr>
            <w:r w:rsidRPr="00302109">
              <w:t>650.000,00 zł</w:t>
            </w:r>
          </w:p>
        </w:tc>
      </w:tr>
      <w:tr w:rsidR="00941583" w:rsidRPr="00302109" w14:paraId="79A67FBF" w14:textId="77777777" w:rsidTr="00BD5F1D">
        <w:trPr>
          <w:trHeight w:val="675"/>
        </w:trPr>
        <w:tc>
          <w:tcPr>
            <w:tcW w:w="6666" w:type="dxa"/>
            <w:gridSpan w:val="2"/>
            <w:shd w:val="clear" w:color="auto" w:fill="auto"/>
          </w:tcPr>
          <w:p w14:paraId="05578344" w14:textId="77777777" w:rsidR="00941583" w:rsidRPr="00302109" w:rsidRDefault="00941583" w:rsidP="00B20D3F">
            <w:pPr>
              <w:jc w:val="both"/>
            </w:pPr>
            <w:r w:rsidRPr="00302109">
              <w:t xml:space="preserve">- dla jednostek spoza sekt. fin. publicznych na </w:t>
            </w:r>
            <w:proofErr w:type="spellStart"/>
            <w:r w:rsidRPr="00302109">
              <w:t>dof</w:t>
            </w:r>
            <w:proofErr w:type="spellEnd"/>
            <w:r w:rsidRPr="00302109">
              <w:t xml:space="preserve">. prac </w:t>
            </w:r>
          </w:p>
          <w:p w14:paraId="09538D2A" w14:textId="77777777" w:rsidR="00941583" w:rsidRPr="00302109" w:rsidRDefault="00941583" w:rsidP="00B20D3F">
            <w:pPr>
              <w:jc w:val="both"/>
            </w:pPr>
            <w:r w:rsidRPr="00302109">
              <w:t xml:space="preserve">   remontowych i konserwatorskich obiektów zabytkowych           </w:t>
            </w:r>
          </w:p>
        </w:tc>
        <w:tc>
          <w:tcPr>
            <w:tcW w:w="1559" w:type="dxa"/>
            <w:shd w:val="clear" w:color="auto" w:fill="auto"/>
          </w:tcPr>
          <w:p w14:paraId="655B4658" w14:textId="77777777" w:rsidR="00941583" w:rsidRPr="00302109" w:rsidRDefault="00941583" w:rsidP="00B20D3F">
            <w:pPr>
              <w:jc w:val="right"/>
            </w:pPr>
            <w:r w:rsidRPr="00302109">
              <w:t>20.000,00 zł</w:t>
            </w:r>
          </w:p>
        </w:tc>
      </w:tr>
      <w:tr w:rsidR="00941583" w:rsidRPr="00302109" w14:paraId="153D8024" w14:textId="77777777" w:rsidTr="00BD5F1D">
        <w:trPr>
          <w:trHeight w:val="429"/>
        </w:trPr>
        <w:tc>
          <w:tcPr>
            <w:tcW w:w="6666" w:type="dxa"/>
            <w:gridSpan w:val="2"/>
            <w:shd w:val="clear" w:color="auto" w:fill="auto"/>
          </w:tcPr>
          <w:p w14:paraId="037FC42B" w14:textId="77777777" w:rsidR="00941583" w:rsidRPr="00302109" w:rsidRDefault="00941583" w:rsidP="00B20D3F">
            <w:pPr>
              <w:jc w:val="both"/>
            </w:pPr>
            <w:r w:rsidRPr="00302109">
              <w:t>- wpłata na rzecz związku międzygminnego</w:t>
            </w:r>
          </w:p>
        </w:tc>
        <w:tc>
          <w:tcPr>
            <w:tcW w:w="1559" w:type="dxa"/>
            <w:shd w:val="clear" w:color="auto" w:fill="auto"/>
          </w:tcPr>
          <w:p w14:paraId="579549CF" w14:textId="77777777" w:rsidR="00941583" w:rsidRPr="00302109" w:rsidRDefault="00941583" w:rsidP="00B20D3F">
            <w:pPr>
              <w:jc w:val="right"/>
            </w:pPr>
            <w:r w:rsidRPr="00302109">
              <w:t>24.000,00 zł</w:t>
            </w:r>
          </w:p>
        </w:tc>
      </w:tr>
      <w:tr w:rsidR="00941583" w:rsidRPr="00302109" w14:paraId="778F7BD4" w14:textId="77777777" w:rsidTr="00BD5F1D">
        <w:tc>
          <w:tcPr>
            <w:tcW w:w="6666" w:type="dxa"/>
            <w:gridSpan w:val="2"/>
            <w:shd w:val="clear" w:color="auto" w:fill="auto"/>
          </w:tcPr>
          <w:p w14:paraId="736994CE" w14:textId="77777777" w:rsidR="00941583" w:rsidRPr="00302109" w:rsidRDefault="00941583" w:rsidP="00B20D3F">
            <w:pPr>
              <w:jc w:val="both"/>
            </w:pPr>
            <w:r w:rsidRPr="00302109">
              <w:t>- na pomoc finansową dla innych jednostek samorządu</w:t>
            </w:r>
            <w:r>
              <w:t xml:space="preserve">    </w:t>
            </w:r>
            <w:r w:rsidRPr="00302109">
              <w:t xml:space="preserve"> terytorialnego</w:t>
            </w:r>
          </w:p>
        </w:tc>
        <w:tc>
          <w:tcPr>
            <w:tcW w:w="1559" w:type="dxa"/>
            <w:shd w:val="clear" w:color="auto" w:fill="auto"/>
          </w:tcPr>
          <w:p w14:paraId="347E97BA" w14:textId="34EE3C8D" w:rsidR="00941583" w:rsidRPr="00302109" w:rsidRDefault="00BD5F1D" w:rsidP="00B20D3F">
            <w:pPr>
              <w:jc w:val="right"/>
            </w:pPr>
            <w:r>
              <w:t>2</w:t>
            </w:r>
            <w:r w:rsidR="00B53B8A">
              <w:t>1</w:t>
            </w:r>
            <w:r>
              <w:t>6.640,97</w:t>
            </w:r>
            <w:r w:rsidR="00941583" w:rsidRPr="00302109">
              <w:t xml:space="preserve"> zł</w:t>
            </w:r>
          </w:p>
        </w:tc>
      </w:tr>
    </w:tbl>
    <w:p w14:paraId="568E7C3C" w14:textId="77777777" w:rsidR="00941583" w:rsidRPr="00302109" w:rsidRDefault="00941583" w:rsidP="00941583">
      <w:pPr>
        <w:jc w:val="both"/>
      </w:pPr>
      <w:r w:rsidRPr="00302109">
        <w:t xml:space="preserve">                d) wydatki na obsługę długu                                                                     670.000,00 zł</w:t>
      </w:r>
    </w:p>
    <w:p w14:paraId="34F06DAF" w14:textId="77777777" w:rsidR="00F04378" w:rsidRDefault="00941583" w:rsidP="00941583">
      <w:pPr>
        <w:jc w:val="both"/>
      </w:pPr>
      <w:r w:rsidRPr="00840190">
        <w:t xml:space="preserve">         </w:t>
      </w:r>
    </w:p>
    <w:p w14:paraId="3340EC54" w14:textId="756AC7AC" w:rsidR="00941583" w:rsidRPr="00606B1B" w:rsidRDefault="00941583" w:rsidP="00F04378">
      <w:pPr>
        <w:ind w:firstLine="708"/>
        <w:jc w:val="both"/>
      </w:pPr>
      <w:r w:rsidRPr="00840190">
        <w:t xml:space="preserve"> 2) wydatki majątkowe w wysokości  </w:t>
      </w:r>
      <w:r w:rsidR="00753CDA">
        <w:t>29.349.265,28</w:t>
      </w:r>
      <w:r w:rsidRPr="00840190">
        <w:t xml:space="preserve"> zł.</w:t>
      </w:r>
      <w:r w:rsidRPr="00606B1B">
        <w:t xml:space="preserve"> </w:t>
      </w:r>
    </w:p>
    <w:p w14:paraId="5CB726E2" w14:textId="77777777" w:rsidR="00941583" w:rsidRPr="004E323D" w:rsidRDefault="00941583" w:rsidP="00941583">
      <w:pPr>
        <w:jc w:val="both"/>
        <w:rPr>
          <w:highlight w:val="yellow"/>
        </w:rPr>
      </w:pPr>
    </w:p>
    <w:p w14:paraId="795B9A2B" w14:textId="320FB0B2" w:rsidR="00941583" w:rsidRPr="00606B1B" w:rsidRDefault="00941583" w:rsidP="00941583">
      <w:pPr>
        <w:ind w:left="851" w:hanging="567"/>
        <w:jc w:val="both"/>
      </w:pPr>
      <w:r w:rsidRPr="00606B1B">
        <w:t xml:space="preserve">      </w:t>
      </w:r>
      <w:r w:rsidRPr="00840190">
        <w:rPr>
          <w:b/>
        </w:rPr>
        <w:t xml:space="preserve">3. </w:t>
      </w:r>
      <w:r w:rsidRPr="00840190">
        <w:t xml:space="preserve">Wydatki  na zadania inwestycyjne i inne majątkowe ustala się w wysokości </w:t>
      </w:r>
      <w:r w:rsidR="00753CDA">
        <w:t>29.349.265,28</w:t>
      </w:r>
      <w:r w:rsidRPr="00840190">
        <w:t xml:space="preserve"> zł,</w:t>
      </w:r>
      <w:r w:rsidRPr="00606B1B">
        <w:t xml:space="preserve"> </w:t>
      </w:r>
    </w:p>
    <w:p w14:paraId="4A365D4E" w14:textId="77777777" w:rsidR="00941583" w:rsidRPr="00606B1B" w:rsidRDefault="00941583" w:rsidP="00941583">
      <w:pPr>
        <w:ind w:left="360"/>
        <w:jc w:val="both"/>
      </w:pPr>
      <w:r w:rsidRPr="00606B1B">
        <w:t xml:space="preserve">    - zgodnie z załącznikiem nr 3.</w:t>
      </w:r>
    </w:p>
    <w:p w14:paraId="4AE710FB" w14:textId="22A65294" w:rsidR="007F7BBC" w:rsidRPr="00606B1B" w:rsidRDefault="007F7BBC" w:rsidP="00941583">
      <w:pPr>
        <w:jc w:val="both"/>
      </w:pPr>
    </w:p>
    <w:p w14:paraId="50E0DBFF" w14:textId="41DC66AB" w:rsidR="00866EC3" w:rsidRDefault="001F6B44" w:rsidP="009D1265">
      <w:pPr>
        <w:ind w:left="360"/>
      </w:pPr>
      <w:r>
        <w:t xml:space="preserve">          </w:t>
      </w:r>
      <w:r w:rsidR="00866EC3">
        <w:t xml:space="preserve">- zgodnie z załącznikiem nr </w:t>
      </w:r>
      <w:r w:rsidR="00714D9E">
        <w:t>1 i 2</w:t>
      </w:r>
      <w:r w:rsidR="004355CE">
        <w:t xml:space="preserve"> </w:t>
      </w:r>
      <w:r w:rsidR="00866EC3">
        <w:t>do niniejszej uchwały;</w:t>
      </w:r>
    </w:p>
    <w:p w14:paraId="3D842201" w14:textId="7E936868" w:rsidR="00762FDD" w:rsidRDefault="00762FDD" w:rsidP="009D1265">
      <w:pPr>
        <w:ind w:left="360"/>
      </w:pPr>
    </w:p>
    <w:p w14:paraId="4CA70223" w14:textId="53B2A722" w:rsidR="000C1BF7" w:rsidRPr="00D01993" w:rsidRDefault="000C1BF7" w:rsidP="000C1BF7">
      <w:pPr>
        <w:pStyle w:val="Akapitzlist"/>
        <w:numPr>
          <w:ilvl w:val="0"/>
          <w:numId w:val="1"/>
        </w:numPr>
      </w:pPr>
      <w:r w:rsidRPr="000C1BF7">
        <w:rPr>
          <w:rFonts w:cs="Arial"/>
        </w:rPr>
        <w:t>§ 3</w:t>
      </w:r>
      <w:r w:rsidRPr="00D01993">
        <w:t xml:space="preserve"> uchwały otrzymuje brzmienie:   </w:t>
      </w:r>
    </w:p>
    <w:p w14:paraId="3E09DFAB" w14:textId="77777777" w:rsidR="000C1BF7" w:rsidRDefault="000C1BF7" w:rsidP="000C1BF7">
      <w:pPr>
        <w:ind w:left="360"/>
      </w:pPr>
    </w:p>
    <w:p w14:paraId="38C8D69E" w14:textId="024C6A4F" w:rsidR="00941583" w:rsidRPr="004E5323" w:rsidRDefault="00941583" w:rsidP="00941583">
      <w:pPr>
        <w:ind w:left="840"/>
        <w:jc w:val="both"/>
      </w:pPr>
      <w:r>
        <w:t>„</w:t>
      </w:r>
      <w:r w:rsidRPr="00840190">
        <w:rPr>
          <w:b/>
          <w:bCs/>
        </w:rPr>
        <w:t xml:space="preserve">§ 3. </w:t>
      </w:r>
      <w:r w:rsidRPr="00840190">
        <w:t xml:space="preserve">Ustala się przychody w kwocie </w:t>
      </w:r>
      <w:r w:rsidR="00753CDA">
        <w:t>15.809.291,74</w:t>
      </w:r>
      <w:r w:rsidRPr="00840190">
        <w:t xml:space="preserve"> zł i rozchody w kwocie </w:t>
      </w:r>
      <w:r>
        <w:t>6.908.500,00</w:t>
      </w:r>
      <w:r w:rsidRPr="00840190">
        <w:t xml:space="preserve"> zł, zgodnie z załącznikiem nr 4.</w:t>
      </w:r>
      <w:r>
        <w:t xml:space="preserve"> </w:t>
      </w:r>
      <w:r w:rsidRPr="00840190">
        <w:t xml:space="preserve">Deficyt budżetu w kwocie </w:t>
      </w:r>
      <w:r w:rsidR="00753CDA">
        <w:t>8.900.791,74</w:t>
      </w:r>
      <w:r w:rsidRPr="00840190">
        <w:t xml:space="preserve"> zł zostanie sfinansowany przychodami z tytułu sprzedaży innych papierów wartościowych</w:t>
      </w:r>
      <w:r w:rsidR="00BD5F1D">
        <w:t xml:space="preserve"> oraz z tytułu wolnych środków</w:t>
      </w:r>
      <w:r w:rsidR="00B81DE8">
        <w:t xml:space="preserve"> i </w:t>
      </w:r>
      <w:r w:rsidR="00B81DE8" w:rsidRPr="00B81DE8">
        <w:t xml:space="preserve">z niewykorzystanych środków pieniężnych na rachunku </w:t>
      </w:r>
      <w:proofErr w:type="spellStart"/>
      <w:r w:rsidR="00B81DE8" w:rsidRPr="00B81DE8">
        <w:t>bieżącycm</w:t>
      </w:r>
      <w:proofErr w:type="spellEnd"/>
      <w:r w:rsidR="00B81DE8" w:rsidRPr="00B81DE8">
        <w:t xml:space="preserve"> budżetu, wynikającym z rozliczenia dochodów i wydatków nimi finansowanych związanych ze szczególnymi zasadami wykonywania budżetu określonymi w odrębnych ustawach</w:t>
      </w:r>
      <w:r w:rsidR="00BD5F1D">
        <w:t>.</w:t>
      </w:r>
      <w:r>
        <w:t>”</w:t>
      </w:r>
    </w:p>
    <w:p w14:paraId="2D121BDC" w14:textId="0BDE470A" w:rsidR="000C1BF7" w:rsidRPr="004E5323" w:rsidRDefault="000C1BF7" w:rsidP="00941583">
      <w:pPr>
        <w:jc w:val="both"/>
      </w:pPr>
    </w:p>
    <w:p w14:paraId="2AC39034" w14:textId="13D9C2EB" w:rsidR="000C1BF7" w:rsidRDefault="000C1BF7" w:rsidP="000C1BF7">
      <w:pPr>
        <w:ind w:left="360"/>
      </w:pPr>
      <w:r>
        <w:t xml:space="preserve">          - zgodnie z załącznikiem nr </w:t>
      </w:r>
      <w:r w:rsidR="00714D9E">
        <w:t>3</w:t>
      </w:r>
      <w:r>
        <w:t xml:space="preserve"> do niniejszej uchwały;</w:t>
      </w:r>
    </w:p>
    <w:p w14:paraId="78195B48" w14:textId="7E81CC2B" w:rsidR="00B8055A" w:rsidRDefault="00B8055A" w:rsidP="009D1265">
      <w:pPr>
        <w:ind w:left="360"/>
      </w:pPr>
    </w:p>
    <w:p w14:paraId="0F209064" w14:textId="3FCF6A87" w:rsidR="00473F21" w:rsidRPr="00D01993" w:rsidRDefault="00473F21" w:rsidP="00473F21">
      <w:pPr>
        <w:pStyle w:val="Akapitzlist"/>
        <w:numPr>
          <w:ilvl w:val="0"/>
          <w:numId w:val="1"/>
        </w:numPr>
      </w:pPr>
      <w:r w:rsidRPr="00473F21">
        <w:rPr>
          <w:rFonts w:cs="Arial"/>
        </w:rPr>
        <w:t xml:space="preserve">§ </w:t>
      </w:r>
      <w:r>
        <w:rPr>
          <w:rFonts w:cs="Arial"/>
        </w:rPr>
        <w:t>12</w:t>
      </w:r>
      <w:r w:rsidRPr="00D01993">
        <w:t xml:space="preserve"> uchwały otrzymuje brzmienie:   </w:t>
      </w:r>
    </w:p>
    <w:p w14:paraId="5482801C" w14:textId="77777777" w:rsidR="007858E2" w:rsidRDefault="007858E2" w:rsidP="009D1265">
      <w:pPr>
        <w:ind w:left="360"/>
      </w:pPr>
    </w:p>
    <w:p w14:paraId="74096EA6" w14:textId="77777777" w:rsidR="00473F21" w:rsidRPr="00840190" w:rsidRDefault="00473F21" w:rsidP="00473F21">
      <w:pPr>
        <w:jc w:val="both"/>
        <w:rPr>
          <w:bCs/>
        </w:rPr>
      </w:pPr>
      <w:bookmarkStart w:id="0" w:name="_Hlk59613962"/>
      <w:bookmarkStart w:id="1" w:name="_Hlk52193187"/>
      <w:r w:rsidRPr="00840190">
        <w:rPr>
          <w:b/>
          <w:bCs/>
        </w:rPr>
        <w:t xml:space="preserve">§ 12.1 </w:t>
      </w:r>
      <w:r w:rsidRPr="00840190">
        <w:rPr>
          <w:bCs/>
        </w:rPr>
        <w:t>Ustala się limit zobowiązań z tytułu zaciąg</w:t>
      </w:r>
      <w:r>
        <w:rPr>
          <w:bCs/>
        </w:rPr>
        <w:t>anych</w:t>
      </w:r>
      <w:r w:rsidRPr="00840190">
        <w:rPr>
          <w:bCs/>
        </w:rPr>
        <w:t xml:space="preserve"> kredytów i pożyczek w kwocie </w:t>
      </w:r>
    </w:p>
    <w:p w14:paraId="28E6CC52" w14:textId="77777777" w:rsidR="00473F21" w:rsidRPr="00840190" w:rsidRDefault="00473F21" w:rsidP="00473F21">
      <w:pPr>
        <w:jc w:val="both"/>
        <w:rPr>
          <w:bCs/>
        </w:rPr>
      </w:pPr>
      <w:r w:rsidRPr="00840190">
        <w:rPr>
          <w:b/>
          <w:bCs/>
        </w:rPr>
        <w:t xml:space="preserve">        </w:t>
      </w:r>
      <w:r>
        <w:rPr>
          <w:bCs/>
        </w:rPr>
        <w:t>8.100</w:t>
      </w:r>
      <w:r w:rsidRPr="00840190">
        <w:rPr>
          <w:bCs/>
        </w:rPr>
        <w:t>.000,00 zł , z tego na:</w:t>
      </w:r>
    </w:p>
    <w:p w14:paraId="39391C90" w14:textId="77777777" w:rsidR="00473F21" w:rsidRPr="00840190" w:rsidRDefault="00473F21" w:rsidP="00473F21">
      <w:pPr>
        <w:jc w:val="both"/>
        <w:rPr>
          <w:bCs/>
        </w:rPr>
      </w:pPr>
      <w:r w:rsidRPr="00840190">
        <w:rPr>
          <w:bCs/>
        </w:rPr>
        <w:t xml:space="preserve">    </w:t>
      </w:r>
      <w:r w:rsidRPr="00840190">
        <w:rPr>
          <w:bCs/>
        </w:rPr>
        <w:tab/>
        <w:t xml:space="preserve">  1) pokrycie występującego w ciągu roku przejściowego deficytu budżetu –    </w:t>
      </w:r>
    </w:p>
    <w:p w14:paraId="5F0991AF" w14:textId="77777777" w:rsidR="00473F21" w:rsidRDefault="00473F21" w:rsidP="00473F21">
      <w:pPr>
        <w:jc w:val="both"/>
        <w:rPr>
          <w:bCs/>
        </w:rPr>
      </w:pPr>
      <w:r w:rsidRPr="00840190">
        <w:rPr>
          <w:bCs/>
        </w:rPr>
        <w:t xml:space="preserve">                 3.500.000,00  zł,</w:t>
      </w:r>
    </w:p>
    <w:p w14:paraId="0D26CA75" w14:textId="77777777" w:rsidR="00473F21" w:rsidRPr="00840190" w:rsidRDefault="00473F21" w:rsidP="00473F21">
      <w:pPr>
        <w:ind w:left="708"/>
        <w:jc w:val="both"/>
        <w:rPr>
          <w:bCs/>
        </w:rPr>
      </w:pPr>
      <w:r>
        <w:rPr>
          <w:bCs/>
        </w:rPr>
        <w:t xml:space="preserve">  2) prefinansowanie zadań realizowanych z udziałem środków unijnych  - 4.600.000,00    </w:t>
      </w:r>
      <w:r>
        <w:rPr>
          <w:bCs/>
        </w:rPr>
        <w:br/>
        <w:t xml:space="preserve">      zł</w:t>
      </w:r>
    </w:p>
    <w:p w14:paraId="2431A2DA" w14:textId="34288C4D" w:rsidR="00473F21" w:rsidRDefault="00473F21" w:rsidP="00473F21">
      <w:pPr>
        <w:ind w:left="708"/>
        <w:jc w:val="both"/>
        <w:rPr>
          <w:bCs/>
        </w:rPr>
      </w:pPr>
      <w:r w:rsidRPr="00DE7AAE">
        <w:rPr>
          <w:b/>
          <w:bCs/>
        </w:rPr>
        <w:t xml:space="preserve">2. </w:t>
      </w:r>
      <w:r w:rsidRPr="00DE7AAE">
        <w:rPr>
          <w:bCs/>
        </w:rPr>
        <w:t xml:space="preserve">Ustala się limit emisji papierów wartościowych w kwocie </w:t>
      </w:r>
      <w:r>
        <w:rPr>
          <w:bCs/>
        </w:rPr>
        <w:t>4</w:t>
      </w:r>
      <w:r w:rsidRPr="00DE7AAE">
        <w:rPr>
          <w:bCs/>
        </w:rPr>
        <w:t>.</w:t>
      </w:r>
      <w:r w:rsidR="004551B0">
        <w:rPr>
          <w:bCs/>
        </w:rPr>
        <w:t>4</w:t>
      </w:r>
      <w:r w:rsidRPr="00DE7AAE">
        <w:rPr>
          <w:bCs/>
        </w:rPr>
        <w:t>00.000,00 zł na</w:t>
      </w:r>
      <w:r>
        <w:rPr>
          <w:bCs/>
        </w:rPr>
        <w:t xml:space="preserve">      </w:t>
      </w:r>
    </w:p>
    <w:p w14:paraId="09328873" w14:textId="7F5A46DA" w:rsidR="000C415E" w:rsidRDefault="00473F21" w:rsidP="00E2063A">
      <w:pPr>
        <w:ind w:left="708"/>
        <w:jc w:val="both"/>
      </w:pPr>
      <w:r>
        <w:rPr>
          <w:b/>
          <w:bCs/>
        </w:rPr>
        <w:t xml:space="preserve">    </w:t>
      </w:r>
      <w:r w:rsidRPr="00DE7AAE">
        <w:rPr>
          <w:bCs/>
        </w:rPr>
        <w:t>finansowanie deficytu budżetu</w:t>
      </w:r>
      <w:r>
        <w:rPr>
          <w:bCs/>
        </w:rPr>
        <w:t>.</w:t>
      </w:r>
      <w:bookmarkEnd w:id="0"/>
      <w:bookmarkEnd w:id="1"/>
    </w:p>
    <w:p w14:paraId="197952D2" w14:textId="77777777" w:rsidR="00711D1F" w:rsidRDefault="00711D1F" w:rsidP="00926FC3">
      <w:pPr>
        <w:ind w:left="360"/>
      </w:pPr>
    </w:p>
    <w:p w14:paraId="23C7FD10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2. </w:t>
      </w:r>
      <w:r w:rsidRPr="005B77D4">
        <w:rPr>
          <w:rFonts w:cs="Arial"/>
        </w:rPr>
        <w:t>Wykonanie uchwały powierza się Burmistrzowi Gminy Czempiń.</w:t>
      </w:r>
    </w:p>
    <w:p w14:paraId="4A442787" w14:textId="77777777" w:rsidR="00647FED" w:rsidRPr="005B77D4" w:rsidRDefault="00647FED" w:rsidP="00647FED">
      <w:pPr>
        <w:jc w:val="both"/>
      </w:pPr>
      <w:r w:rsidRPr="005B77D4">
        <w:rPr>
          <w:rFonts w:cs="Arial"/>
          <w:b/>
        </w:rPr>
        <w:t xml:space="preserve">§ 3. </w:t>
      </w:r>
      <w:r w:rsidRPr="005B77D4">
        <w:t xml:space="preserve">Uchwała zostanie </w:t>
      </w:r>
      <w:r>
        <w:t xml:space="preserve">podana do publicznej wiadomości poprzez </w:t>
      </w:r>
      <w:r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5B77D4">
        <w:rPr>
          <w:rFonts w:cs="Arial"/>
          <w:b/>
        </w:rPr>
        <w:t xml:space="preserve">§ 4. </w:t>
      </w:r>
      <w:r w:rsidRPr="005B77D4">
        <w:rPr>
          <w:rFonts w:cs="Arial"/>
        </w:rPr>
        <w:t>Uchwała w</w:t>
      </w:r>
      <w:r w:rsidR="007F7BBC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C46A4FB" w14:textId="77777777" w:rsidR="000C1BF7" w:rsidRDefault="000C1BF7" w:rsidP="00054D88">
      <w:pPr>
        <w:ind w:left="4248" w:firstLine="708"/>
      </w:pPr>
    </w:p>
    <w:p w14:paraId="2A763D77" w14:textId="77777777" w:rsidR="000C1BF7" w:rsidRDefault="000C1BF7" w:rsidP="00054D88">
      <w:pPr>
        <w:ind w:left="4248" w:firstLine="708"/>
      </w:pPr>
    </w:p>
    <w:p w14:paraId="1C49D234" w14:textId="77777777" w:rsidR="00555414" w:rsidRDefault="00555414" w:rsidP="00054D88">
      <w:pPr>
        <w:ind w:left="4248" w:firstLine="708"/>
      </w:pPr>
    </w:p>
    <w:p w14:paraId="639EE905" w14:textId="77777777" w:rsidR="00555414" w:rsidRDefault="00555414" w:rsidP="00054D88">
      <w:pPr>
        <w:ind w:left="4248" w:firstLine="708"/>
      </w:pPr>
    </w:p>
    <w:p w14:paraId="58F79244" w14:textId="77777777" w:rsidR="00555414" w:rsidRDefault="00555414" w:rsidP="00054D88">
      <w:pPr>
        <w:ind w:left="4248" w:firstLine="708"/>
      </w:pPr>
    </w:p>
    <w:p w14:paraId="6DB1E3F5" w14:textId="77777777" w:rsidR="00555414" w:rsidRDefault="00555414" w:rsidP="00054D88">
      <w:pPr>
        <w:ind w:left="4248" w:firstLine="708"/>
      </w:pPr>
    </w:p>
    <w:p w14:paraId="2E994420" w14:textId="77777777" w:rsidR="00555414" w:rsidRDefault="00555414" w:rsidP="00054D88">
      <w:pPr>
        <w:ind w:left="4248" w:firstLine="708"/>
      </w:pPr>
    </w:p>
    <w:p w14:paraId="05290318" w14:textId="77777777" w:rsidR="00555414" w:rsidRDefault="00555414" w:rsidP="00054D88">
      <w:pPr>
        <w:ind w:left="4248" w:firstLine="708"/>
      </w:pPr>
    </w:p>
    <w:p w14:paraId="22E764FB" w14:textId="44DB7CFD" w:rsidR="00E3337F" w:rsidRPr="000538D8" w:rsidRDefault="006671F8" w:rsidP="00054D88">
      <w:pPr>
        <w:ind w:left="4248" w:firstLine="708"/>
      </w:pPr>
      <w:r>
        <w:t>Uz</w:t>
      </w:r>
      <w:r w:rsidR="00E3337F" w:rsidRPr="000538D8">
        <w:t xml:space="preserve">asadnienie </w:t>
      </w:r>
    </w:p>
    <w:p w14:paraId="2219C8A1" w14:textId="19CFDF56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8D705D">
        <w:t xml:space="preserve"> XXXII/292/21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>
        <w:t>Ra</w:t>
      </w:r>
      <w:r w:rsidRPr="000538D8">
        <w:t>dy Miejskiej w Czempiniu</w:t>
      </w:r>
    </w:p>
    <w:p w14:paraId="52327AFD" w14:textId="70EE3EBF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E2063A">
        <w:t>19 kwietnia</w:t>
      </w:r>
      <w:r w:rsidR="00941583">
        <w:t xml:space="preserve"> 2021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0F9A5D9F" w:rsidR="00291B18" w:rsidRPr="00E2063A" w:rsidRDefault="00291B18" w:rsidP="00291B18">
      <w:pPr>
        <w:jc w:val="both"/>
        <w:rPr>
          <w:sz w:val="22"/>
          <w:szCs w:val="22"/>
        </w:rPr>
      </w:pPr>
      <w:r w:rsidRPr="00E2063A">
        <w:rPr>
          <w:sz w:val="22"/>
          <w:szCs w:val="22"/>
        </w:rPr>
        <w:t>Dokonuje się zmian w budżecie Gminy Czempiń na 20</w:t>
      </w:r>
      <w:r w:rsidR="006C7676" w:rsidRPr="00E2063A">
        <w:rPr>
          <w:sz w:val="22"/>
          <w:szCs w:val="22"/>
        </w:rPr>
        <w:t>2</w:t>
      </w:r>
      <w:r w:rsidR="00941583" w:rsidRPr="00E2063A">
        <w:rPr>
          <w:sz w:val="22"/>
          <w:szCs w:val="22"/>
        </w:rPr>
        <w:t>1</w:t>
      </w:r>
      <w:r w:rsidRPr="00E2063A">
        <w:rPr>
          <w:sz w:val="22"/>
          <w:szCs w:val="22"/>
        </w:rPr>
        <w:t xml:space="preserve"> rok w następujący sposób:</w:t>
      </w:r>
    </w:p>
    <w:p w14:paraId="5F6587CE" w14:textId="417A7B9B" w:rsidR="0010410E" w:rsidRDefault="0010410E" w:rsidP="0010410E">
      <w:pPr>
        <w:jc w:val="both"/>
        <w:rPr>
          <w:b/>
          <w:sz w:val="22"/>
          <w:szCs w:val="22"/>
        </w:rPr>
      </w:pPr>
    </w:p>
    <w:p w14:paraId="6B92AC52" w14:textId="33270C69" w:rsidR="00753CDA" w:rsidRPr="00E2063A" w:rsidRDefault="00753CDA" w:rsidP="00753C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DOCHODY</w:t>
      </w:r>
      <w:r w:rsidRPr="00E2063A">
        <w:rPr>
          <w:b/>
          <w:sz w:val="22"/>
          <w:szCs w:val="22"/>
        </w:rPr>
        <w:t>:</w:t>
      </w:r>
    </w:p>
    <w:p w14:paraId="74E9BECC" w14:textId="77777777" w:rsidR="00753CDA" w:rsidRPr="008452A1" w:rsidRDefault="00753CDA" w:rsidP="00753CDA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087"/>
        <w:gridCol w:w="1194"/>
        <w:gridCol w:w="1389"/>
        <w:gridCol w:w="4763"/>
      </w:tblGrid>
      <w:tr w:rsidR="00753CDA" w:rsidRPr="00CD103D" w14:paraId="73BAC97F" w14:textId="77777777" w:rsidTr="00F52AAB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497F6F" w14:textId="77777777" w:rsidR="00753CDA" w:rsidRPr="00CD103D" w:rsidRDefault="00753CDA" w:rsidP="00F52AAB">
            <w:pPr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Lp.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AAB1C0" w14:textId="77777777" w:rsidR="00753CDA" w:rsidRPr="00CD103D" w:rsidRDefault="00753CDA" w:rsidP="00F52AAB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Rozdział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71BFDC" w14:textId="77777777" w:rsidR="00753CDA" w:rsidRPr="00CD103D" w:rsidRDefault="00753CDA" w:rsidP="00F52AAB">
            <w:pPr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Paragraf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DA1BBD" w14:textId="77777777" w:rsidR="00753CDA" w:rsidRPr="00CD103D" w:rsidRDefault="00753CDA" w:rsidP="00F52AAB">
            <w:pPr>
              <w:jc w:val="center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Kwota [zł]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66D9B5" w14:textId="77777777" w:rsidR="00753CDA" w:rsidRPr="00CD103D" w:rsidRDefault="00753CDA" w:rsidP="00F52AAB">
            <w:pPr>
              <w:ind w:left="360"/>
              <w:jc w:val="center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Opis</w:t>
            </w:r>
          </w:p>
        </w:tc>
      </w:tr>
      <w:tr w:rsidR="00753CDA" w:rsidRPr="00CD103D" w14:paraId="6E302D1A" w14:textId="77777777" w:rsidTr="00F52AAB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D0F7AF" w14:textId="77777777" w:rsidR="00753CDA" w:rsidRPr="008762E1" w:rsidRDefault="00753CDA" w:rsidP="00F52AAB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AD9CD" w14:textId="7B6DA4CE" w:rsidR="00753CDA" w:rsidRPr="008762E1" w:rsidRDefault="00753CDA" w:rsidP="00F52AAB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01042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27686" w14:textId="624682DD" w:rsidR="00753CDA" w:rsidRPr="008762E1" w:rsidRDefault="00753CDA" w:rsidP="00F52AAB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6300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9BFA2" w14:textId="3327664F" w:rsidR="00753CDA" w:rsidRPr="008762E1" w:rsidRDefault="00753CDA" w:rsidP="00F52AAB">
            <w:pPr>
              <w:jc w:val="right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+132.750,00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9723B" w14:textId="4A86811B" w:rsidR="00753CDA" w:rsidRPr="008762E1" w:rsidRDefault="00753CDA" w:rsidP="00F52AAB">
            <w:pPr>
              <w:jc w:val="both"/>
              <w:rPr>
                <w:sz w:val="16"/>
                <w:szCs w:val="16"/>
              </w:rPr>
            </w:pPr>
            <w:r w:rsidRPr="008762E1">
              <w:rPr>
                <w:sz w:val="16"/>
                <w:szCs w:val="16"/>
              </w:rPr>
              <w:t>Zwiększenie planu dochodów z tytułu pomocy finansowej z Województwa Wielkopolskiego na dofinansowanie zadania „</w:t>
            </w:r>
            <w:r w:rsidR="008762E1" w:rsidRPr="008762E1">
              <w:rPr>
                <w:sz w:val="16"/>
                <w:szCs w:val="16"/>
              </w:rPr>
              <w:t xml:space="preserve">Budowa drogi dojazdowej do gruntów rolnych w obrębie wsi Piotrkowice -Piechanin” (uchwała nr XXVIII/509/21 Sejmiku Województwa </w:t>
            </w:r>
            <w:proofErr w:type="spellStart"/>
            <w:r w:rsidR="008762E1" w:rsidRPr="008762E1">
              <w:rPr>
                <w:sz w:val="16"/>
                <w:szCs w:val="16"/>
              </w:rPr>
              <w:t>Wlkp</w:t>
            </w:r>
            <w:proofErr w:type="spellEnd"/>
            <w:r w:rsidR="008762E1" w:rsidRPr="008762E1">
              <w:rPr>
                <w:sz w:val="16"/>
                <w:szCs w:val="16"/>
              </w:rPr>
              <w:t xml:space="preserve"> z dnia 29.03.2021r.).</w:t>
            </w:r>
          </w:p>
        </w:tc>
      </w:tr>
    </w:tbl>
    <w:p w14:paraId="12E4B8D0" w14:textId="77777777" w:rsidR="00753CDA" w:rsidRPr="00E2063A" w:rsidRDefault="00753CDA" w:rsidP="0010410E">
      <w:pPr>
        <w:jc w:val="both"/>
        <w:rPr>
          <w:b/>
          <w:sz w:val="22"/>
          <w:szCs w:val="22"/>
        </w:rPr>
      </w:pPr>
    </w:p>
    <w:p w14:paraId="50D7FD5D" w14:textId="45539EFD" w:rsidR="0010410E" w:rsidRPr="00E2063A" w:rsidRDefault="0010410E" w:rsidP="0010410E">
      <w:pPr>
        <w:jc w:val="both"/>
        <w:rPr>
          <w:b/>
          <w:sz w:val="22"/>
          <w:szCs w:val="22"/>
        </w:rPr>
      </w:pPr>
      <w:bookmarkStart w:id="2" w:name="_Hlk50971813"/>
      <w:bookmarkStart w:id="3" w:name="_Hlk43361659"/>
      <w:r w:rsidRPr="00E2063A">
        <w:rPr>
          <w:b/>
          <w:sz w:val="22"/>
          <w:szCs w:val="22"/>
        </w:rPr>
        <w:t>WYDATKI:</w:t>
      </w:r>
    </w:p>
    <w:p w14:paraId="340726FA" w14:textId="77777777" w:rsidR="0010410E" w:rsidRPr="008452A1" w:rsidRDefault="0010410E" w:rsidP="0010410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087"/>
        <w:gridCol w:w="1194"/>
        <w:gridCol w:w="1389"/>
        <w:gridCol w:w="4763"/>
      </w:tblGrid>
      <w:tr w:rsidR="00E2063A" w:rsidRPr="00CD103D" w14:paraId="41DA43F4" w14:textId="77777777" w:rsidTr="000B506C">
        <w:trPr>
          <w:trHeight w:val="351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bookmarkEnd w:id="2"/>
          <w:bookmarkEnd w:id="3"/>
          <w:p w14:paraId="4E0D1FDD" w14:textId="77777777" w:rsidR="00E2063A" w:rsidRPr="00CD103D" w:rsidRDefault="00E2063A" w:rsidP="000B506C">
            <w:pPr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Lp.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8C4C35" w14:textId="77777777" w:rsidR="00E2063A" w:rsidRPr="00CD103D" w:rsidRDefault="00E2063A" w:rsidP="000B506C">
            <w:pPr>
              <w:tabs>
                <w:tab w:val="left" w:pos="1256"/>
              </w:tabs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Rozdział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546ECF" w14:textId="77777777" w:rsidR="00E2063A" w:rsidRPr="00CD103D" w:rsidRDefault="00E2063A" w:rsidP="000B506C">
            <w:pPr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Paragraf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2BE811" w14:textId="77777777" w:rsidR="00E2063A" w:rsidRPr="00CD103D" w:rsidRDefault="00E2063A" w:rsidP="000B506C">
            <w:pPr>
              <w:jc w:val="center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Kwota [zł]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72D175" w14:textId="77777777" w:rsidR="00E2063A" w:rsidRPr="00CD103D" w:rsidRDefault="00E2063A" w:rsidP="000B506C">
            <w:pPr>
              <w:ind w:left="360"/>
              <w:jc w:val="center"/>
              <w:rPr>
                <w:sz w:val="20"/>
                <w:szCs w:val="20"/>
              </w:rPr>
            </w:pPr>
            <w:r w:rsidRPr="00CD103D">
              <w:rPr>
                <w:sz w:val="20"/>
                <w:szCs w:val="20"/>
              </w:rPr>
              <w:t>Opis</w:t>
            </w:r>
          </w:p>
        </w:tc>
      </w:tr>
      <w:tr w:rsidR="00E2063A" w:rsidRPr="00CD103D" w14:paraId="424E8091" w14:textId="77777777" w:rsidTr="000B506C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6DC84C" w14:textId="77777777" w:rsidR="00E2063A" w:rsidRPr="008762E1" w:rsidRDefault="00E2063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1.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9F197" w14:textId="77777777" w:rsidR="00E2063A" w:rsidRPr="008762E1" w:rsidRDefault="00E2063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60016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5E993" w14:textId="77777777" w:rsidR="00E2063A" w:rsidRPr="008762E1" w:rsidRDefault="00E2063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E7D54" w14:textId="77777777" w:rsidR="00E2063A" w:rsidRPr="008762E1" w:rsidRDefault="00E2063A" w:rsidP="000B506C">
            <w:pPr>
              <w:jc w:val="right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-400.000,00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AB995" w14:textId="77777777" w:rsidR="00E2063A" w:rsidRPr="008762E1" w:rsidRDefault="00E2063A" w:rsidP="000B506C">
            <w:pPr>
              <w:jc w:val="both"/>
              <w:rPr>
                <w:sz w:val="16"/>
                <w:szCs w:val="16"/>
              </w:rPr>
            </w:pPr>
            <w:r w:rsidRPr="008762E1">
              <w:rPr>
                <w:sz w:val="16"/>
                <w:szCs w:val="16"/>
              </w:rPr>
              <w:t xml:space="preserve">Zmniejszenie planu wydatków na zadanie „Budowa drogi z Donatowa w kierunku </w:t>
            </w:r>
            <w:proofErr w:type="spellStart"/>
            <w:r w:rsidRPr="008762E1">
              <w:rPr>
                <w:sz w:val="16"/>
                <w:szCs w:val="16"/>
              </w:rPr>
              <w:t>Rąbinia</w:t>
            </w:r>
            <w:proofErr w:type="spellEnd"/>
            <w:r w:rsidRPr="008762E1">
              <w:rPr>
                <w:sz w:val="16"/>
                <w:szCs w:val="16"/>
              </w:rPr>
              <w:t xml:space="preserve"> do granicy Gminy” po rozstrzygnięciu przetargu.</w:t>
            </w:r>
          </w:p>
        </w:tc>
      </w:tr>
      <w:tr w:rsidR="00E2063A" w:rsidRPr="00CD103D" w14:paraId="30B88519" w14:textId="77777777" w:rsidTr="000B506C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18A461" w14:textId="77777777" w:rsidR="00E2063A" w:rsidRPr="008762E1" w:rsidRDefault="00E2063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3.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6D489" w14:textId="77777777" w:rsidR="00E2063A" w:rsidRPr="008762E1" w:rsidRDefault="00E2063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60016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4678F" w14:textId="77777777" w:rsidR="00E2063A" w:rsidRPr="008762E1" w:rsidRDefault="00E2063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5AD9D" w14:textId="43BF6072" w:rsidR="00E2063A" w:rsidRPr="008762E1" w:rsidRDefault="00E2063A" w:rsidP="000B506C">
            <w:pPr>
              <w:jc w:val="right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+</w:t>
            </w:r>
            <w:r w:rsidR="006F2D77" w:rsidRPr="008762E1">
              <w:rPr>
                <w:sz w:val="18"/>
                <w:szCs w:val="18"/>
              </w:rPr>
              <w:t>9</w:t>
            </w:r>
            <w:r w:rsidRPr="008762E1">
              <w:rPr>
                <w:sz w:val="18"/>
                <w:szCs w:val="18"/>
              </w:rPr>
              <w:t>18.869,43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269FA" w14:textId="77777777" w:rsidR="00E2063A" w:rsidRPr="008762E1" w:rsidRDefault="00E2063A" w:rsidP="000B506C">
            <w:pPr>
              <w:jc w:val="both"/>
              <w:rPr>
                <w:sz w:val="16"/>
                <w:szCs w:val="16"/>
              </w:rPr>
            </w:pPr>
            <w:r w:rsidRPr="008762E1">
              <w:rPr>
                <w:sz w:val="16"/>
                <w:szCs w:val="16"/>
              </w:rPr>
              <w:t>Wprowadzenie zadania „Przebudowa ulicy Kwiatowej w Czempiniu i w Piotrkowicach z połączeniem z ulicą Wiatrakową wraz z budową kanalizacji deszczowej w ulicy Zachodniej.</w:t>
            </w:r>
          </w:p>
        </w:tc>
      </w:tr>
      <w:tr w:rsidR="00E2063A" w:rsidRPr="00CD103D" w14:paraId="6D55B879" w14:textId="77777777" w:rsidTr="000B506C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6CB80" w14:textId="77777777" w:rsidR="00E2063A" w:rsidRPr="008762E1" w:rsidRDefault="00E2063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4.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9C8EA" w14:textId="77777777" w:rsidR="00E2063A" w:rsidRPr="008762E1" w:rsidRDefault="00E2063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 xml:space="preserve">60016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D838F" w14:textId="77777777" w:rsidR="00E2063A" w:rsidRPr="008762E1" w:rsidRDefault="00E2063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CFAE3" w14:textId="744D5FD8" w:rsidR="00E2063A" w:rsidRPr="008762E1" w:rsidRDefault="00E2063A" w:rsidP="000B506C">
            <w:pPr>
              <w:jc w:val="right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+</w:t>
            </w:r>
            <w:r w:rsidR="006F2D77" w:rsidRPr="008762E1">
              <w:rPr>
                <w:sz w:val="18"/>
                <w:szCs w:val="18"/>
              </w:rPr>
              <w:t>9</w:t>
            </w:r>
            <w:r w:rsidRPr="008762E1">
              <w:rPr>
                <w:sz w:val="18"/>
                <w:szCs w:val="18"/>
              </w:rPr>
              <w:t>00.000,00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1AC8F" w14:textId="77777777" w:rsidR="00E2063A" w:rsidRPr="008762E1" w:rsidRDefault="00E2063A" w:rsidP="000B506C">
            <w:pPr>
              <w:jc w:val="both"/>
              <w:rPr>
                <w:sz w:val="16"/>
                <w:szCs w:val="16"/>
              </w:rPr>
            </w:pPr>
            <w:r w:rsidRPr="008762E1">
              <w:rPr>
                <w:sz w:val="16"/>
                <w:szCs w:val="16"/>
              </w:rPr>
              <w:t>Wprowadzenie zadania „Przebudowa ulicy Wiatrakowej w Czempiniu”.</w:t>
            </w:r>
          </w:p>
        </w:tc>
      </w:tr>
      <w:tr w:rsidR="00753CDA" w:rsidRPr="00CD103D" w14:paraId="11FBDC4B" w14:textId="77777777" w:rsidTr="000B506C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03AC8" w14:textId="3621E5CF" w:rsidR="00753CDA" w:rsidRPr="008762E1" w:rsidRDefault="00753CD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5.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5258D" w14:textId="77777777" w:rsidR="00753CDA" w:rsidRPr="008762E1" w:rsidRDefault="00753CD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60016</w:t>
            </w:r>
          </w:p>
          <w:p w14:paraId="011C0BD6" w14:textId="5EEB288B" w:rsidR="00753CDA" w:rsidRPr="008762E1" w:rsidRDefault="00753CD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01042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B6309" w14:textId="77777777" w:rsidR="00753CDA" w:rsidRPr="008762E1" w:rsidRDefault="00753CD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6050</w:t>
            </w:r>
          </w:p>
          <w:p w14:paraId="2BFEC9EA" w14:textId="68DBEAC1" w:rsidR="00753CDA" w:rsidRPr="008762E1" w:rsidRDefault="00753CD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6050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A229D" w14:textId="77777777" w:rsidR="00753CDA" w:rsidRPr="008762E1" w:rsidRDefault="00753CDA" w:rsidP="000B506C">
            <w:pPr>
              <w:jc w:val="right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-100.000,00</w:t>
            </w:r>
          </w:p>
          <w:p w14:paraId="6894E030" w14:textId="2D71FA81" w:rsidR="00753CDA" w:rsidRPr="008762E1" w:rsidRDefault="00753CDA" w:rsidP="000B506C">
            <w:pPr>
              <w:jc w:val="right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+255.935,00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97009" w14:textId="054A3BEE" w:rsidR="00753CDA" w:rsidRPr="008762E1" w:rsidRDefault="00753CDA" w:rsidP="000B506C">
            <w:pPr>
              <w:jc w:val="both"/>
              <w:rPr>
                <w:sz w:val="16"/>
                <w:szCs w:val="16"/>
              </w:rPr>
            </w:pPr>
            <w:r w:rsidRPr="008762E1">
              <w:rPr>
                <w:sz w:val="16"/>
                <w:szCs w:val="16"/>
              </w:rPr>
              <w:t>Rezygnuje się z zadania „Utwardzenie gruntowych dróg gminnych” i wprowadza się nowe zadanie „Budowa drogi dojazdowej do gruntów rolnych w obrębie wsi Piotrkowice -Piechanin”.</w:t>
            </w:r>
          </w:p>
        </w:tc>
      </w:tr>
      <w:tr w:rsidR="00E2063A" w:rsidRPr="00CD103D" w14:paraId="02299ACE" w14:textId="77777777" w:rsidTr="000B506C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2E196" w14:textId="5DAC6DFA" w:rsidR="00E2063A" w:rsidRPr="008762E1" w:rsidRDefault="00753CD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6</w:t>
            </w:r>
            <w:r w:rsidR="00E2063A" w:rsidRPr="008762E1">
              <w:rPr>
                <w:sz w:val="18"/>
                <w:szCs w:val="1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4F30F" w14:textId="77777777" w:rsidR="00E2063A" w:rsidRPr="008762E1" w:rsidRDefault="00E2063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60016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D6FCC" w14:textId="77777777" w:rsidR="00E2063A" w:rsidRPr="008762E1" w:rsidRDefault="00E2063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4270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6CDEF" w14:textId="77777777" w:rsidR="00E2063A" w:rsidRPr="008762E1" w:rsidRDefault="00E2063A" w:rsidP="000B506C">
            <w:pPr>
              <w:jc w:val="right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+900.000,00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72816" w14:textId="77777777" w:rsidR="00E2063A" w:rsidRPr="008762E1" w:rsidRDefault="00E2063A" w:rsidP="000B506C">
            <w:pPr>
              <w:jc w:val="both"/>
              <w:rPr>
                <w:sz w:val="16"/>
                <w:szCs w:val="16"/>
              </w:rPr>
            </w:pPr>
            <w:r w:rsidRPr="008762E1">
              <w:rPr>
                <w:sz w:val="16"/>
                <w:szCs w:val="16"/>
              </w:rPr>
              <w:t>Zwiększenie planu wydatków na remonty dróg – wymiana nawierzchni asfaltowej na drodze w Borowie (II etap), na drodze z Donatowa do Marianowa oraz na drodze przez miejscowość Bieczyny.</w:t>
            </w:r>
          </w:p>
        </w:tc>
      </w:tr>
      <w:tr w:rsidR="00E2063A" w:rsidRPr="00CD103D" w14:paraId="46633C58" w14:textId="77777777" w:rsidTr="000B506C">
        <w:trPr>
          <w:trHeight w:val="569"/>
        </w:trPr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476E7" w14:textId="231EA7ED" w:rsidR="00E2063A" w:rsidRPr="008762E1" w:rsidRDefault="00753CD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7</w:t>
            </w:r>
            <w:r w:rsidR="00E2063A" w:rsidRPr="008762E1">
              <w:rPr>
                <w:sz w:val="18"/>
                <w:szCs w:val="18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239E3" w14:textId="77777777" w:rsidR="00E2063A" w:rsidRPr="008762E1" w:rsidRDefault="00E2063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75023</w:t>
            </w:r>
          </w:p>
          <w:p w14:paraId="6DA38C42" w14:textId="77777777" w:rsidR="00E2063A" w:rsidRPr="008762E1" w:rsidRDefault="00E2063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75023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8B52A" w14:textId="77777777" w:rsidR="00E2063A" w:rsidRPr="008762E1" w:rsidRDefault="00E2063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4360</w:t>
            </w:r>
          </w:p>
          <w:p w14:paraId="1E5AE965" w14:textId="77777777" w:rsidR="00E2063A" w:rsidRPr="008762E1" w:rsidRDefault="00E2063A" w:rsidP="000B506C">
            <w:pPr>
              <w:jc w:val="both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4710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89911" w14:textId="77777777" w:rsidR="00E2063A" w:rsidRPr="008762E1" w:rsidRDefault="00E2063A" w:rsidP="000B506C">
            <w:pPr>
              <w:jc w:val="right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+4.500,00</w:t>
            </w:r>
          </w:p>
          <w:p w14:paraId="64D4DEB1" w14:textId="77777777" w:rsidR="00E2063A" w:rsidRPr="008762E1" w:rsidRDefault="00E2063A" w:rsidP="000B506C">
            <w:pPr>
              <w:jc w:val="right"/>
              <w:rPr>
                <w:sz w:val="18"/>
                <w:szCs w:val="18"/>
              </w:rPr>
            </w:pPr>
            <w:r w:rsidRPr="008762E1">
              <w:rPr>
                <w:sz w:val="18"/>
                <w:szCs w:val="18"/>
              </w:rPr>
              <w:t>-4.500,00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00B02" w14:textId="77777777" w:rsidR="00E2063A" w:rsidRPr="008762E1" w:rsidRDefault="00E2063A" w:rsidP="000B506C">
            <w:pPr>
              <w:jc w:val="both"/>
              <w:rPr>
                <w:sz w:val="16"/>
                <w:szCs w:val="16"/>
              </w:rPr>
            </w:pPr>
            <w:r w:rsidRPr="008762E1">
              <w:rPr>
                <w:sz w:val="16"/>
                <w:szCs w:val="16"/>
              </w:rPr>
              <w:t>Przesunięcie środków w ramach administracji publicznej.</w:t>
            </w:r>
          </w:p>
        </w:tc>
      </w:tr>
    </w:tbl>
    <w:p w14:paraId="680ED608" w14:textId="77777777" w:rsidR="00E2063A" w:rsidRPr="00CD103D" w:rsidRDefault="00E2063A" w:rsidP="00E2063A">
      <w:pPr>
        <w:jc w:val="both"/>
        <w:rPr>
          <w:sz w:val="20"/>
          <w:szCs w:val="20"/>
        </w:rPr>
      </w:pPr>
    </w:p>
    <w:p w14:paraId="1C35D77C" w14:textId="60991C4E" w:rsidR="00E2063A" w:rsidRPr="008762E1" w:rsidRDefault="00E2063A" w:rsidP="00E2063A">
      <w:pPr>
        <w:jc w:val="both"/>
        <w:rPr>
          <w:b/>
          <w:bCs/>
          <w:sz w:val="20"/>
          <w:szCs w:val="20"/>
        </w:rPr>
      </w:pPr>
      <w:r w:rsidRPr="008762E1">
        <w:rPr>
          <w:b/>
          <w:bCs/>
          <w:sz w:val="20"/>
          <w:szCs w:val="20"/>
        </w:rPr>
        <w:t xml:space="preserve">RAZEM zwiększenie wydatków </w:t>
      </w:r>
      <w:r w:rsidR="00753CDA" w:rsidRPr="008762E1">
        <w:rPr>
          <w:b/>
          <w:bCs/>
          <w:sz w:val="20"/>
          <w:szCs w:val="20"/>
        </w:rPr>
        <w:t>2.474.804,43</w:t>
      </w:r>
      <w:r w:rsidRPr="008762E1">
        <w:rPr>
          <w:b/>
          <w:bCs/>
          <w:sz w:val="20"/>
          <w:szCs w:val="20"/>
        </w:rPr>
        <w:t xml:space="preserve"> zł.</w:t>
      </w:r>
    </w:p>
    <w:p w14:paraId="0EDEC7E2" w14:textId="77777777" w:rsidR="00E2063A" w:rsidRPr="008762E1" w:rsidRDefault="00E2063A" w:rsidP="00E2063A">
      <w:pPr>
        <w:jc w:val="both"/>
        <w:rPr>
          <w:b/>
          <w:bCs/>
          <w:sz w:val="20"/>
          <w:szCs w:val="20"/>
        </w:rPr>
      </w:pPr>
    </w:p>
    <w:p w14:paraId="58987D12" w14:textId="3A6D0F96" w:rsidR="00E2063A" w:rsidRPr="008762E1" w:rsidRDefault="00E2063A" w:rsidP="00E2063A">
      <w:pPr>
        <w:jc w:val="both"/>
        <w:rPr>
          <w:sz w:val="20"/>
          <w:szCs w:val="20"/>
        </w:rPr>
      </w:pPr>
      <w:r w:rsidRPr="008762E1">
        <w:rPr>
          <w:sz w:val="20"/>
          <w:szCs w:val="20"/>
        </w:rPr>
        <w:t xml:space="preserve">Zwiększa się plan przychodów o kwotę </w:t>
      </w:r>
      <w:r w:rsidR="00753CDA" w:rsidRPr="008762E1">
        <w:rPr>
          <w:sz w:val="20"/>
          <w:szCs w:val="20"/>
        </w:rPr>
        <w:t>2.342.054,43</w:t>
      </w:r>
      <w:r w:rsidRPr="008762E1">
        <w:rPr>
          <w:sz w:val="20"/>
          <w:szCs w:val="20"/>
        </w:rPr>
        <w:t xml:space="preserve"> zł, w tym:</w:t>
      </w:r>
    </w:p>
    <w:p w14:paraId="6D031140" w14:textId="7F892E2D" w:rsidR="00E2063A" w:rsidRPr="008762E1" w:rsidRDefault="00E2063A" w:rsidP="00E2063A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8762E1">
        <w:rPr>
          <w:sz w:val="20"/>
          <w:szCs w:val="20"/>
        </w:rPr>
        <w:t xml:space="preserve">z tytułu wolnych środków o kwotę </w:t>
      </w:r>
      <w:r w:rsidR="00753CDA" w:rsidRPr="008762E1">
        <w:rPr>
          <w:sz w:val="20"/>
          <w:szCs w:val="20"/>
        </w:rPr>
        <w:t>423.185,00</w:t>
      </w:r>
      <w:r w:rsidRPr="008762E1">
        <w:rPr>
          <w:sz w:val="20"/>
          <w:szCs w:val="20"/>
        </w:rPr>
        <w:t xml:space="preserve"> zł,</w:t>
      </w:r>
    </w:p>
    <w:p w14:paraId="29B9ABCD" w14:textId="79F7075B" w:rsidR="00E2063A" w:rsidRPr="008762E1" w:rsidRDefault="00E2063A" w:rsidP="00E2063A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8762E1">
        <w:rPr>
          <w:sz w:val="20"/>
          <w:szCs w:val="20"/>
        </w:rPr>
        <w:t xml:space="preserve">z niewykorzystanych środków pieniężnych na rachunku bieżącym budżetu, wynikającym z rozliczenia dochodów i wydatków nimi finansowanych związanych ze szczególnymi zasadami wykonywania budżetu określonymi w odrębnych ustawach o kwotę </w:t>
      </w:r>
      <w:r w:rsidR="005C355B" w:rsidRPr="008762E1">
        <w:rPr>
          <w:sz w:val="20"/>
          <w:szCs w:val="20"/>
        </w:rPr>
        <w:t>5</w:t>
      </w:r>
      <w:r w:rsidRPr="008762E1">
        <w:rPr>
          <w:sz w:val="20"/>
          <w:szCs w:val="20"/>
        </w:rPr>
        <w:t xml:space="preserve">18.869,43 zł (z tego ze środków RFIL wykonanych w 2020 roku kwota </w:t>
      </w:r>
      <w:r w:rsidR="006F2D77" w:rsidRPr="008762E1">
        <w:rPr>
          <w:sz w:val="20"/>
          <w:szCs w:val="20"/>
        </w:rPr>
        <w:t>5</w:t>
      </w:r>
      <w:r w:rsidRPr="008762E1">
        <w:rPr>
          <w:sz w:val="20"/>
          <w:szCs w:val="20"/>
        </w:rPr>
        <w:t>18.869,43 zł),</w:t>
      </w:r>
    </w:p>
    <w:p w14:paraId="5300B282" w14:textId="61ACC331" w:rsidR="00E2063A" w:rsidRPr="008762E1" w:rsidRDefault="00E2063A" w:rsidP="00E2063A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8762E1">
        <w:rPr>
          <w:sz w:val="20"/>
          <w:szCs w:val="20"/>
        </w:rPr>
        <w:t>z tytułu emisji obligacji o kwotę 1.</w:t>
      </w:r>
      <w:r w:rsidR="006F2D77" w:rsidRPr="008762E1">
        <w:rPr>
          <w:sz w:val="20"/>
          <w:szCs w:val="20"/>
        </w:rPr>
        <w:t>4</w:t>
      </w:r>
      <w:r w:rsidRPr="008762E1">
        <w:rPr>
          <w:sz w:val="20"/>
          <w:szCs w:val="20"/>
        </w:rPr>
        <w:t>00.000,00 zł.</w:t>
      </w:r>
    </w:p>
    <w:p w14:paraId="7E003BF8" w14:textId="163DA69D" w:rsidR="007B77F1" w:rsidRPr="008762E1" w:rsidRDefault="00E2063A" w:rsidP="007B7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762E1">
        <w:rPr>
          <w:sz w:val="20"/>
          <w:szCs w:val="20"/>
        </w:rPr>
        <w:t xml:space="preserve">Obserwując korzystne dla Gminy rozstrzygnięcia przetargów ogłaszanych na roboty związane z budową dróg, postanowiono wykorzystać moment i wprowadzić do budżetu zadania związane z poprawą stanu dróg gminnych, a co za tym idzie również bezpieczeństwa na nich. W tym celu angażuje się środki wypracowane w roku poprzednim, które do tej  pory nie znalazły swojego przeznaczenia (m.in. wolne środki oraz środki otrzymane w 2020 roku z Rządowego Funduszu </w:t>
      </w:r>
      <w:r w:rsidR="00681CF5">
        <w:rPr>
          <w:sz w:val="20"/>
          <w:szCs w:val="20"/>
        </w:rPr>
        <w:t>Inwestycji</w:t>
      </w:r>
      <w:r w:rsidRPr="008762E1">
        <w:rPr>
          <w:sz w:val="20"/>
          <w:szCs w:val="20"/>
        </w:rPr>
        <w:t xml:space="preserve"> Lokalnych</w:t>
      </w:r>
      <w:r w:rsidR="005A5DFB" w:rsidRPr="008762E1">
        <w:rPr>
          <w:sz w:val="20"/>
          <w:szCs w:val="20"/>
        </w:rPr>
        <w:t xml:space="preserve"> wraz z odsetkami z rachunku bankowego i lokat od tych środków</w:t>
      </w:r>
      <w:r w:rsidRPr="008762E1">
        <w:rPr>
          <w:sz w:val="20"/>
          <w:szCs w:val="20"/>
        </w:rPr>
        <w:t xml:space="preserve">). Zwiększa się również plan przychodów z tytułu emisji obligacji. </w:t>
      </w:r>
      <w:r w:rsidR="006F2D77" w:rsidRPr="008762E1">
        <w:rPr>
          <w:sz w:val="20"/>
          <w:szCs w:val="20"/>
        </w:rPr>
        <w:t>W 2020 roku Gmina przedpłaciła zobowiązania płatne w przyszłych latach</w:t>
      </w:r>
      <w:r w:rsidR="007B77F1" w:rsidRPr="008762E1">
        <w:rPr>
          <w:sz w:val="20"/>
          <w:szCs w:val="20"/>
        </w:rPr>
        <w:t>, zmniejszając tym samym zadłużenie o 1,3 mln zł.</w:t>
      </w:r>
      <w:r w:rsidR="006F2D77" w:rsidRPr="008762E1">
        <w:rPr>
          <w:sz w:val="20"/>
          <w:szCs w:val="20"/>
        </w:rPr>
        <w:t xml:space="preserve"> </w:t>
      </w:r>
      <w:r w:rsidR="00191766" w:rsidRPr="008762E1">
        <w:rPr>
          <w:sz w:val="20"/>
          <w:szCs w:val="20"/>
        </w:rPr>
        <w:t>Chcąc wykorzystać k</w:t>
      </w:r>
      <w:r w:rsidR="007B77F1" w:rsidRPr="008762E1">
        <w:rPr>
          <w:sz w:val="20"/>
          <w:szCs w:val="20"/>
        </w:rPr>
        <w:t>ształtując</w:t>
      </w:r>
      <w:r w:rsidR="00191766" w:rsidRPr="008762E1">
        <w:rPr>
          <w:sz w:val="20"/>
          <w:szCs w:val="20"/>
        </w:rPr>
        <w:t>ą</w:t>
      </w:r>
      <w:r w:rsidR="007B77F1" w:rsidRPr="008762E1">
        <w:rPr>
          <w:sz w:val="20"/>
          <w:szCs w:val="20"/>
        </w:rPr>
        <w:t xml:space="preserve"> się </w:t>
      </w:r>
      <w:r w:rsidR="00191766" w:rsidRPr="008762E1">
        <w:rPr>
          <w:sz w:val="20"/>
          <w:szCs w:val="20"/>
        </w:rPr>
        <w:t xml:space="preserve">obecnie </w:t>
      </w:r>
      <w:r w:rsidR="007B77F1" w:rsidRPr="008762E1">
        <w:rPr>
          <w:sz w:val="20"/>
          <w:szCs w:val="20"/>
        </w:rPr>
        <w:t xml:space="preserve">na bardzo niskim poziomie </w:t>
      </w:r>
      <w:r w:rsidR="00191766" w:rsidRPr="008762E1">
        <w:rPr>
          <w:sz w:val="20"/>
          <w:szCs w:val="20"/>
        </w:rPr>
        <w:t xml:space="preserve">wysokość </w:t>
      </w:r>
      <w:r w:rsidR="007B77F1" w:rsidRPr="008762E1">
        <w:rPr>
          <w:sz w:val="20"/>
          <w:szCs w:val="20"/>
          <w:shd w:val="clear" w:color="auto" w:fill="FFFFFF"/>
        </w:rPr>
        <w:t>stóp procentowych</w:t>
      </w:r>
      <w:r w:rsidR="00191766" w:rsidRPr="008762E1">
        <w:rPr>
          <w:sz w:val="20"/>
          <w:szCs w:val="20"/>
          <w:shd w:val="clear" w:color="auto" w:fill="FFFFFF"/>
        </w:rPr>
        <w:t xml:space="preserve"> i</w:t>
      </w:r>
      <w:r w:rsidR="007B77F1" w:rsidRPr="008762E1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="007B77F1" w:rsidRPr="008762E1">
        <w:rPr>
          <w:sz w:val="20"/>
          <w:szCs w:val="20"/>
        </w:rPr>
        <w:t>korzystn</w:t>
      </w:r>
      <w:r w:rsidR="00191766" w:rsidRPr="008762E1">
        <w:rPr>
          <w:sz w:val="20"/>
          <w:szCs w:val="20"/>
        </w:rPr>
        <w:t>ą</w:t>
      </w:r>
      <w:r w:rsidR="007B77F1" w:rsidRPr="008762E1">
        <w:rPr>
          <w:sz w:val="20"/>
          <w:szCs w:val="20"/>
        </w:rPr>
        <w:t xml:space="preserve"> sytuacj</w:t>
      </w:r>
      <w:r w:rsidR="00191766" w:rsidRPr="008762E1">
        <w:rPr>
          <w:sz w:val="20"/>
          <w:szCs w:val="20"/>
        </w:rPr>
        <w:t>ę</w:t>
      </w:r>
      <w:r w:rsidR="007B77F1" w:rsidRPr="008762E1">
        <w:rPr>
          <w:sz w:val="20"/>
          <w:szCs w:val="20"/>
        </w:rPr>
        <w:t xml:space="preserve"> na rynku usługowym związanym z budową dróg</w:t>
      </w:r>
      <w:r w:rsidR="00191766" w:rsidRPr="008762E1">
        <w:rPr>
          <w:sz w:val="20"/>
          <w:szCs w:val="20"/>
        </w:rPr>
        <w:t>, postanawia się zwiększyć emisję obligacji, co pozwoli na realizację zadań planowanych powyżej. Niemniej jednak, j</w:t>
      </w:r>
      <w:r w:rsidR="007B77F1" w:rsidRPr="008762E1">
        <w:rPr>
          <w:sz w:val="20"/>
          <w:szCs w:val="20"/>
        </w:rPr>
        <w:t xml:space="preserve">eśli budżet pozwoli, to na koniec 2021 roku </w:t>
      </w:r>
      <w:r w:rsidR="00191766" w:rsidRPr="008762E1">
        <w:rPr>
          <w:sz w:val="20"/>
          <w:szCs w:val="20"/>
        </w:rPr>
        <w:t xml:space="preserve">również poczynione zostaną </w:t>
      </w:r>
      <w:proofErr w:type="spellStart"/>
      <w:r w:rsidR="00191766" w:rsidRPr="008762E1">
        <w:rPr>
          <w:sz w:val="20"/>
          <w:szCs w:val="20"/>
        </w:rPr>
        <w:t>satrania</w:t>
      </w:r>
      <w:proofErr w:type="spellEnd"/>
      <w:r w:rsidR="00191766" w:rsidRPr="008762E1">
        <w:rPr>
          <w:sz w:val="20"/>
          <w:szCs w:val="20"/>
        </w:rPr>
        <w:t xml:space="preserve">, aby spłacić wcześniej </w:t>
      </w:r>
      <w:r w:rsidR="007B77F1" w:rsidRPr="008762E1">
        <w:rPr>
          <w:sz w:val="20"/>
          <w:szCs w:val="20"/>
        </w:rPr>
        <w:t>kolejne raty  zaciągniętych w latach ubiegłych zobowiązań finansowych.</w:t>
      </w:r>
    </w:p>
    <w:p w14:paraId="46333600" w14:textId="77777777" w:rsidR="006E70BD" w:rsidRPr="008762E1" w:rsidRDefault="006E70BD" w:rsidP="0010410E">
      <w:pPr>
        <w:jc w:val="both"/>
        <w:rPr>
          <w:sz w:val="20"/>
          <w:szCs w:val="20"/>
        </w:rPr>
      </w:pPr>
      <w:r w:rsidRPr="008762E1">
        <w:rPr>
          <w:sz w:val="20"/>
          <w:szCs w:val="20"/>
        </w:rPr>
        <w:t>Aktualizuje się też załączniki:</w:t>
      </w:r>
    </w:p>
    <w:p w14:paraId="35AB6B41" w14:textId="166055C9" w:rsidR="006E70BD" w:rsidRPr="008762E1" w:rsidRDefault="006E70BD" w:rsidP="0010410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8762E1">
        <w:rPr>
          <w:sz w:val="20"/>
          <w:szCs w:val="20"/>
        </w:rPr>
        <w:t>Załącznik wydatków majątkowych na 202</w:t>
      </w:r>
      <w:r w:rsidR="00941583" w:rsidRPr="008762E1">
        <w:rPr>
          <w:sz w:val="20"/>
          <w:szCs w:val="20"/>
        </w:rPr>
        <w:t>1</w:t>
      </w:r>
      <w:r w:rsidRPr="008762E1">
        <w:rPr>
          <w:sz w:val="20"/>
          <w:szCs w:val="20"/>
        </w:rPr>
        <w:t xml:space="preserve"> rok.</w:t>
      </w:r>
    </w:p>
    <w:p w14:paraId="0C3E5A82" w14:textId="17EA68D4" w:rsidR="006E70BD" w:rsidRPr="008762E1" w:rsidRDefault="006E70BD" w:rsidP="0010410E">
      <w:pPr>
        <w:numPr>
          <w:ilvl w:val="0"/>
          <w:numId w:val="3"/>
        </w:numPr>
        <w:ind w:left="142" w:hanging="142"/>
        <w:jc w:val="both"/>
        <w:rPr>
          <w:sz w:val="20"/>
          <w:szCs w:val="20"/>
        </w:rPr>
      </w:pPr>
      <w:r w:rsidRPr="008762E1">
        <w:rPr>
          <w:sz w:val="20"/>
          <w:szCs w:val="20"/>
        </w:rPr>
        <w:t>Załącznik przychodów i rozchodów Gminy na 202</w:t>
      </w:r>
      <w:r w:rsidR="00941583" w:rsidRPr="008762E1">
        <w:rPr>
          <w:sz w:val="20"/>
          <w:szCs w:val="20"/>
        </w:rPr>
        <w:t>1</w:t>
      </w:r>
      <w:r w:rsidRPr="008762E1">
        <w:rPr>
          <w:sz w:val="20"/>
          <w:szCs w:val="20"/>
        </w:rPr>
        <w:t xml:space="preserve"> rok.</w:t>
      </w:r>
    </w:p>
    <w:sectPr w:rsidR="006E70BD" w:rsidRPr="008762E1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84E"/>
    <w:multiLevelType w:val="hybridMultilevel"/>
    <w:tmpl w:val="32D8ED3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13B0A7B"/>
    <w:multiLevelType w:val="hybridMultilevel"/>
    <w:tmpl w:val="077A2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78C795A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7B01648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769CA"/>
    <w:rsid w:val="00080E93"/>
    <w:rsid w:val="00083CFF"/>
    <w:rsid w:val="0009055C"/>
    <w:rsid w:val="00090B02"/>
    <w:rsid w:val="00091ADE"/>
    <w:rsid w:val="00094F8F"/>
    <w:rsid w:val="00095B84"/>
    <w:rsid w:val="0009662D"/>
    <w:rsid w:val="00096645"/>
    <w:rsid w:val="0009675E"/>
    <w:rsid w:val="000A164A"/>
    <w:rsid w:val="000A1DA2"/>
    <w:rsid w:val="000A1F5C"/>
    <w:rsid w:val="000A28D5"/>
    <w:rsid w:val="000A3832"/>
    <w:rsid w:val="000A5F6E"/>
    <w:rsid w:val="000A60BF"/>
    <w:rsid w:val="000A6C2C"/>
    <w:rsid w:val="000B410E"/>
    <w:rsid w:val="000B5774"/>
    <w:rsid w:val="000C0187"/>
    <w:rsid w:val="000C1297"/>
    <w:rsid w:val="000C1BF7"/>
    <w:rsid w:val="000C415E"/>
    <w:rsid w:val="000C4D76"/>
    <w:rsid w:val="000C4DA2"/>
    <w:rsid w:val="000C5DD7"/>
    <w:rsid w:val="000C7288"/>
    <w:rsid w:val="000D496B"/>
    <w:rsid w:val="000D51D8"/>
    <w:rsid w:val="000D5DEB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0410E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2ECD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30FC"/>
    <w:rsid w:val="00184D60"/>
    <w:rsid w:val="001854BE"/>
    <w:rsid w:val="001863DE"/>
    <w:rsid w:val="00190C24"/>
    <w:rsid w:val="00190DB7"/>
    <w:rsid w:val="00190F4C"/>
    <w:rsid w:val="00191766"/>
    <w:rsid w:val="00195752"/>
    <w:rsid w:val="00197C60"/>
    <w:rsid w:val="001A145A"/>
    <w:rsid w:val="001A29C2"/>
    <w:rsid w:val="001A4FAE"/>
    <w:rsid w:val="001A5BFD"/>
    <w:rsid w:val="001B1417"/>
    <w:rsid w:val="001B1D16"/>
    <w:rsid w:val="001B280D"/>
    <w:rsid w:val="001B4DB4"/>
    <w:rsid w:val="001C12E7"/>
    <w:rsid w:val="001D1E8C"/>
    <w:rsid w:val="001D30E8"/>
    <w:rsid w:val="001D41B4"/>
    <w:rsid w:val="001D4393"/>
    <w:rsid w:val="001D6160"/>
    <w:rsid w:val="001E1948"/>
    <w:rsid w:val="001E5D60"/>
    <w:rsid w:val="001E5F29"/>
    <w:rsid w:val="001F3895"/>
    <w:rsid w:val="001F6B44"/>
    <w:rsid w:val="00200A15"/>
    <w:rsid w:val="002122DD"/>
    <w:rsid w:val="00214164"/>
    <w:rsid w:val="002174D3"/>
    <w:rsid w:val="00225F8B"/>
    <w:rsid w:val="00231173"/>
    <w:rsid w:val="00231A01"/>
    <w:rsid w:val="002328D7"/>
    <w:rsid w:val="0023408B"/>
    <w:rsid w:val="00234425"/>
    <w:rsid w:val="00235D93"/>
    <w:rsid w:val="0024007A"/>
    <w:rsid w:val="002419E5"/>
    <w:rsid w:val="00241AC6"/>
    <w:rsid w:val="0024433A"/>
    <w:rsid w:val="00245291"/>
    <w:rsid w:val="002460C6"/>
    <w:rsid w:val="002467AE"/>
    <w:rsid w:val="002501D4"/>
    <w:rsid w:val="002551A8"/>
    <w:rsid w:val="00262A77"/>
    <w:rsid w:val="002705D6"/>
    <w:rsid w:val="00272432"/>
    <w:rsid w:val="0027306E"/>
    <w:rsid w:val="002754F3"/>
    <w:rsid w:val="0027745F"/>
    <w:rsid w:val="0028635C"/>
    <w:rsid w:val="00286745"/>
    <w:rsid w:val="00286E85"/>
    <w:rsid w:val="00291B18"/>
    <w:rsid w:val="00291B37"/>
    <w:rsid w:val="00292D21"/>
    <w:rsid w:val="00293446"/>
    <w:rsid w:val="00297170"/>
    <w:rsid w:val="002A0381"/>
    <w:rsid w:val="002A0BFE"/>
    <w:rsid w:val="002A2020"/>
    <w:rsid w:val="002A22B3"/>
    <w:rsid w:val="002A2876"/>
    <w:rsid w:val="002A2A85"/>
    <w:rsid w:val="002A36F9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6504"/>
    <w:rsid w:val="002E6841"/>
    <w:rsid w:val="002F6495"/>
    <w:rsid w:val="002F7AEE"/>
    <w:rsid w:val="003012A7"/>
    <w:rsid w:val="003018C8"/>
    <w:rsid w:val="00301DE6"/>
    <w:rsid w:val="00302934"/>
    <w:rsid w:val="003074B6"/>
    <w:rsid w:val="00307769"/>
    <w:rsid w:val="003107D5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4E0"/>
    <w:rsid w:val="00327B8C"/>
    <w:rsid w:val="00332AC5"/>
    <w:rsid w:val="00334D99"/>
    <w:rsid w:val="003351E2"/>
    <w:rsid w:val="00341974"/>
    <w:rsid w:val="0034336C"/>
    <w:rsid w:val="0035215A"/>
    <w:rsid w:val="0035299A"/>
    <w:rsid w:val="003534D4"/>
    <w:rsid w:val="00356048"/>
    <w:rsid w:val="0035615C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7762"/>
    <w:rsid w:val="003D0C38"/>
    <w:rsid w:val="003D20C5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2167"/>
    <w:rsid w:val="004125BA"/>
    <w:rsid w:val="00412D2E"/>
    <w:rsid w:val="00413F87"/>
    <w:rsid w:val="00417BED"/>
    <w:rsid w:val="0042006C"/>
    <w:rsid w:val="00426733"/>
    <w:rsid w:val="0043310D"/>
    <w:rsid w:val="004336FE"/>
    <w:rsid w:val="004355CE"/>
    <w:rsid w:val="0044078F"/>
    <w:rsid w:val="00442C39"/>
    <w:rsid w:val="004456FE"/>
    <w:rsid w:val="004506CB"/>
    <w:rsid w:val="004518D0"/>
    <w:rsid w:val="00452019"/>
    <w:rsid w:val="00454561"/>
    <w:rsid w:val="004551B0"/>
    <w:rsid w:val="00456365"/>
    <w:rsid w:val="00457183"/>
    <w:rsid w:val="00460989"/>
    <w:rsid w:val="00460EA4"/>
    <w:rsid w:val="0046547C"/>
    <w:rsid w:val="004658B7"/>
    <w:rsid w:val="00467DFF"/>
    <w:rsid w:val="00467ECD"/>
    <w:rsid w:val="004717CA"/>
    <w:rsid w:val="00472897"/>
    <w:rsid w:val="00473F21"/>
    <w:rsid w:val="00480A29"/>
    <w:rsid w:val="00480E1B"/>
    <w:rsid w:val="004811B0"/>
    <w:rsid w:val="00484085"/>
    <w:rsid w:val="00491BAE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D59"/>
    <w:rsid w:val="004B25F7"/>
    <w:rsid w:val="004B3360"/>
    <w:rsid w:val="004B47FC"/>
    <w:rsid w:val="004B531E"/>
    <w:rsid w:val="004B5B3D"/>
    <w:rsid w:val="004B7A10"/>
    <w:rsid w:val="004C0325"/>
    <w:rsid w:val="004C2D56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6A5A"/>
    <w:rsid w:val="00527504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5414"/>
    <w:rsid w:val="00557D2F"/>
    <w:rsid w:val="00560723"/>
    <w:rsid w:val="005607EF"/>
    <w:rsid w:val="0056207C"/>
    <w:rsid w:val="005677BC"/>
    <w:rsid w:val="00570644"/>
    <w:rsid w:val="00572F23"/>
    <w:rsid w:val="005754EA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5717"/>
    <w:rsid w:val="00595F62"/>
    <w:rsid w:val="005972BE"/>
    <w:rsid w:val="005976A7"/>
    <w:rsid w:val="0059791B"/>
    <w:rsid w:val="005A00A2"/>
    <w:rsid w:val="005A29A5"/>
    <w:rsid w:val="005A341F"/>
    <w:rsid w:val="005A5DFB"/>
    <w:rsid w:val="005A765D"/>
    <w:rsid w:val="005B0A18"/>
    <w:rsid w:val="005B0FA1"/>
    <w:rsid w:val="005B3056"/>
    <w:rsid w:val="005B62E5"/>
    <w:rsid w:val="005B6643"/>
    <w:rsid w:val="005B7C7A"/>
    <w:rsid w:val="005C1316"/>
    <w:rsid w:val="005C1380"/>
    <w:rsid w:val="005C29A1"/>
    <w:rsid w:val="005C355B"/>
    <w:rsid w:val="005C7A53"/>
    <w:rsid w:val="005C7BA9"/>
    <w:rsid w:val="005D37BD"/>
    <w:rsid w:val="005D5AC5"/>
    <w:rsid w:val="005D6852"/>
    <w:rsid w:val="005E178F"/>
    <w:rsid w:val="005E1820"/>
    <w:rsid w:val="005E2DF3"/>
    <w:rsid w:val="005E4D45"/>
    <w:rsid w:val="005E4F70"/>
    <w:rsid w:val="005E57AA"/>
    <w:rsid w:val="005E63DB"/>
    <w:rsid w:val="005E6DE7"/>
    <w:rsid w:val="005F04AF"/>
    <w:rsid w:val="005F18E0"/>
    <w:rsid w:val="005F2214"/>
    <w:rsid w:val="005F24DF"/>
    <w:rsid w:val="005F2AA5"/>
    <w:rsid w:val="006020A3"/>
    <w:rsid w:val="00603986"/>
    <w:rsid w:val="00605633"/>
    <w:rsid w:val="0061008D"/>
    <w:rsid w:val="0061086A"/>
    <w:rsid w:val="00611237"/>
    <w:rsid w:val="006128D7"/>
    <w:rsid w:val="00614F21"/>
    <w:rsid w:val="0061541B"/>
    <w:rsid w:val="0061582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376A"/>
    <w:rsid w:val="00643EE0"/>
    <w:rsid w:val="00647FED"/>
    <w:rsid w:val="00650114"/>
    <w:rsid w:val="0065034D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3108"/>
    <w:rsid w:val="006731FD"/>
    <w:rsid w:val="006732DB"/>
    <w:rsid w:val="0067521D"/>
    <w:rsid w:val="006776BC"/>
    <w:rsid w:val="00681CF5"/>
    <w:rsid w:val="0068212E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B6C0D"/>
    <w:rsid w:val="006C0623"/>
    <w:rsid w:val="006C062A"/>
    <w:rsid w:val="006C6DC4"/>
    <w:rsid w:val="006C7676"/>
    <w:rsid w:val="006C78C2"/>
    <w:rsid w:val="006C7EC2"/>
    <w:rsid w:val="006D0593"/>
    <w:rsid w:val="006D117A"/>
    <w:rsid w:val="006D2E76"/>
    <w:rsid w:val="006D60BF"/>
    <w:rsid w:val="006E005A"/>
    <w:rsid w:val="006E253D"/>
    <w:rsid w:val="006E2BFE"/>
    <w:rsid w:val="006E356F"/>
    <w:rsid w:val="006E4150"/>
    <w:rsid w:val="006E70BD"/>
    <w:rsid w:val="006F1829"/>
    <w:rsid w:val="006F2D77"/>
    <w:rsid w:val="006F58B7"/>
    <w:rsid w:val="006F6F5A"/>
    <w:rsid w:val="00703194"/>
    <w:rsid w:val="0070737F"/>
    <w:rsid w:val="0071109F"/>
    <w:rsid w:val="00711CDB"/>
    <w:rsid w:val="00711D1F"/>
    <w:rsid w:val="00714D9E"/>
    <w:rsid w:val="00715501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3CDA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526F"/>
    <w:rsid w:val="007753C7"/>
    <w:rsid w:val="00776A78"/>
    <w:rsid w:val="00780C09"/>
    <w:rsid w:val="007853BA"/>
    <w:rsid w:val="007858E2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7F1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61F6"/>
    <w:rsid w:val="007D665D"/>
    <w:rsid w:val="007E13E8"/>
    <w:rsid w:val="007E1FAE"/>
    <w:rsid w:val="007E4703"/>
    <w:rsid w:val="007E7200"/>
    <w:rsid w:val="007E7EFD"/>
    <w:rsid w:val="007F1E10"/>
    <w:rsid w:val="007F3B32"/>
    <w:rsid w:val="007F3FD5"/>
    <w:rsid w:val="007F446A"/>
    <w:rsid w:val="007F4C8D"/>
    <w:rsid w:val="007F5A07"/>
    <w:rsid w:val="007F7BBC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3247D"/>
    <w:rsid w:val="00833401"/>
    <w:rsid w:val="00837E96"/>
    <w:rsid w:val="008402FF"/>
    <w:rsid w:val="00842B3A"/>
    <w:rsid w:val="00845C52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762E1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17C3"/>
    <w:rsid w:val="00895025"/>
    <w:rsid w:val="008976B2"/>
    <w:rsid w:val="00897BBC"/>
    <w:rsid w:val="008A01A7"/>
    <w:rsid w:val="008A1448"/>
    <w:rsid w:val="008A58B7"/>
    <w:rsid w:val="008A607A"/>
    <w:rsid w:val="008A7280"/>
    <w:rsid w:val="008B393D"/>
    <w:rsid w:val="008B611B"/>
    <w:rsid w:val="008B6EB1"/>
    <w:rsid w:val="008C0258"/>
    <w:rsid w:val="008C19C9"/>
    <w:rsid w:val="008C2622"/>
    <w:rsid w:val="008C26C8"/>
    <w:rsid w:val="008C38EB"/>
    <w:rsid w:val="008C48E5"/>
    <w:rsid w:val="008C48EC"/>
    <w:rsid w:val="008C4C12"/>
    <w:rsid w:val="008C54F4"/>
    <w:rsid w:val="008C7DF9"/>
    <w:rsid w:val="008D0CE2"/>
    <w:rsid w:val="008D705D"/>
    <w:rsid w:val="008E19C8"/>
    <w:rsid w:val="008E19D4"/>
    <w:rsid w:val="008E2528"/>
    <w:rsid w:val="008E2711"/>
    <w:rsid w:val="008E4333"/>
    <w:rsid w:val="008E5746"/>
    <w:rsid w:val="008E73BE"/>
    <w:rsid w:val="008E7A5A"/>
    <w:rsid w:val="008F004E"/>
    <w:rsid w:val="008F105C"/>
    <w:rsid w:val="008F179E"/>
    <w:rsid w:val="008F1D02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6B9A"/>
    <w:rsid w:val="0091771E"/>
    <w:rsid w:val="00926AE2"/>
    <w:rsid w:val="00926FC3"/>
    <w:rsid w:val="009323E9"/>
    <w:rsid w:val="00933CEB"/>
    <w:rsid w:val="00936D26"/>
    <w:rsid w:val="00937C9D"/>
    <w:rsid w:val="00941583"/>
    <w:rsid w:val="00942DA7"/>
    <w:rsid w:val="00944227"/>
    <w:rsid w:val="00944BD8"/>
    <w:rsid w:val="00951460"/>
    <w:rsid w:val="009567A6"/>
    <w:rsid w:val="0095765D"/>
    <w:rsid w:val="00963622"/>
    <w:rsid w:val="0096570E"/>
    <w:rsid w:val="00971574"/>
    <w:rsid w:val="00972528"/>
    <w:rsid w:val="00977884"/>
    <w:rsid w:val="00977F72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E1535"/>
    <w:rsid w:val="009E4A86"/>
    <w:rsid w:val="009E4C97"/>
    <w:rsid w:val="009F1022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25CC"/>
    <w:rsid w:val="00A14A1A"/>
    <w:rsid w:val="00A14EC1"/>
    <w:rsid w:val="00A151CB"/>
    <w:rsid w:val="00A20A75"/>
    <w:rsid w:val="00A236B7"/>
    <w:rsid w:val="00A25B16"/>
    <w:rsid w:val="00A27D90"/>
    <w:rsid w:val="00A30B61"/>
    <w:rsid w:val="00A3239E"/>
    <w:rsid w:val="00A35CBD"/>
    <w:rsid w:val="00A3628E"/>
    <w:rsid w:val="00A36FAA"/>
    <w:rsid w:val="00A422D3"/>
    <w:rsid w:val="00A42DD1"/>
    <w:rsid w:val="00A46CB7"/>
    <w:rsid w:val="00A46FD4"/>
    <w:rsid w:val="00A47F99"/>
    <w:rsid w:val="00A50DA2"/>
    <w:rsid w:val="00A517C2"/>
    <w:rsid w:val="00A52C58"/>
    <w:rsid w:val="00A54583"/>
    <w:rsid w:val="00A55F81"/>
    <w:rsid w:val="00A613A3"/>
    <w:rsid w:val="00A619E5"/>
    <w:rsid w:val="00A65867"/>
    <w:rsid w:val="00A6750A"/>
    <w:rsid w:val="00A71F97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4528"/>
    <w:rsid w:val="00AC653E"/>
    <w:rsid w:val="00AD437E"/>
    <w:rsid w:val="00AD4C2F"/>
    <w:rsid w:val="00AD70F4"/>
    <w:rsid w:val="00AE18AA"/>
    <w:rsid w:val="00AE196E"/>
    <w:rsid w:val="00AE2650"/>
    <w:rsid w:val="00AF0F59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1313"/>
    <w:rsid w:val="00B12BC2"/>
    <w:rsid w:val="00B12CC0"/>
    <w:rsid w:val="00B14C40"/>
    <w:rsid w:val="00B16750"/>
    <w:rsid w:val="00B20327"/>
    <w:rsid w:val="00B20A38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47CC4"/>
    <w:rsid w:val="00B52323"/>
    <w:rsid w:val="00B53B8A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1DE8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65B1"/>
    <w:rsid w:val="00BB6682"/>
    <w:rsid w:val="00BC3ADD"/>
    <w:rsid w:val="00BC3BE4"/>
    <w:rsid w:val="00BC6CDD"/>
    <w:rsid w:val="00BC7D9A"/>
    <w:rsid w:val="00BD2543"/>
    <w:rsid w:val="00BD5B8E"/>
    <w:rsid w:val="00BD5E5E"/>
    <w:rsid w:val="00BD5F1D"/>
    <w:rsid w:val="00BE1F62"/>
    <w:rsid w:val="00BE2E72"/>
    <w:rsid w:val="00BE3BEC"/>
    <w:rsid w:val="00BE7BDB"/>
    <w:rsid w:val="00BF4DBB"/>
    <w:rsid w:val="00BF7C99"/>
    <w:rsid w:val="00C020B2"/>
    <w:rsid w:val="00C04A06"/>
    <w:rsid w:val="00C058F3"/>
    <w:rsid w:val="00C0643F"/>
    <w:rsid w:val="00C06F6D"/>
    <w:rsid w:val="00C10FB5"/>
    <w:rsid w:val="00C1291D"/>
    <w:rsid w:val="00C13D1B"/>
    <w:rsid w:val="00C13ED8"/>
    <w:rsid w:val="00C14FD8"/>
    <w:rsid w:val="00C15E2F"/>
    <w:rsid w:val="00C15F80"/>
    <w:rsid w:val="00C20DC2"/>
    <w:rsid w:val="00C20FCA"/>
    <w:rsid w:val="00C24A08"/>
    <w:rsid w:val="00C27434"/>
    <w:rsid w:val="00C2790E"/>
    <w:rsid w:val="00C30147"/>
    <w:rsid w:val="00C3290A"/>
    <w:rsid w:val="00C3510E"/>
    <w:rsid w:val="00C35B2D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661"/>
    <w:rsid w:val="00C96728"/>
    <w:rsid w:val="00C96E35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3B04"/>
    <w:rsid w:val="00CC3B4F"/>
    <w:rsid w:val="00CC5730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490"/>
    <w:rsid w:val="00CE2AEB"/>
    <w:rsid w:val="00CE352C"/>
    <w:rsid w:val="00CE4C1A"/>
    <w:rsid w:val="00CE57FB"/>
    <w:rsid w:val="00CE613B"/>
    <w:rsid w:val="00CE7B0C"/>
    <w:rsid w:val="00CF3DB5"/>
    <w:rsid w:val="00CF5CE5"/>
    <w:rsid w:val="00D00EC1"/>
    <w:rsid w:val="00D01993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6DD1"/>
    <w:rsid w:val="00D1727F"/>
    <w:rsid w:val="00D22EAB"/>
    <w:rsid w:val="00D24FA0"/>
    <w:rsid w:val="00D2635C"/>
    <w:rsid w:val="00D26559"/>
    <w:rsid w:val="00D30AEB"/>
    <w:rsid w:val="00D32A60"/>
    <w:rsid w:val="00D33D2F"/>
    <w:rsid w:val="00D36639"/>
    <w:rsid w:val="00D43553"/>
    <w:rsid w:val="00D447A7"/>
    <w:rsid w:val="00D46415"/>
    <w:rsid w:val="00D501C0"/>
    <w:rsid w:val="00D513E9"/>
    <w:rsid w:val="00D5364A"/>
    <w:rsid w:val="00D53790"/>
    <w:rsid w:val="00D54E6B"/>
    <w:rsid w:val="00D56720"/>
    <w:rsid w:val="00D6772D"/>
    <w:rsid w:val="00D72355"/>
    <w:rsid w:val="00D7434F"/>
    <w:rsid w:val="00D753E0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D35"/>
    <w:rsid w:val="00DB1153"/>
    <w:rsid w:val="00DB5E54"/>
    <w:rsid w:val="00DB649E"/>
    <w:rsid w:val="00DB7660"/>
    <w:rsid w:val="00DC07D0"/>
    <w:rsid w:val="00DC7B27"/>
    <w:rsid w:val="00DD012E"/>
    <w:rsid w:val="00DD24AE"/>
    <w:rsid w:val="00DD4678"/>
    <w:rsid w:val="00DD57CC"/>
    <w:rsid w:val="00DD5AFD"/>
    <w:rsid w:val="00DD5CC2"/>
    <w:rsid w:val="00DE1DA2"/>
    <w:rsid w:val="00DE2E42"/>
    <w:rsid w:val="00DE370B"/>
    <w:rsid w:val="00DE4A51"/>
    <w:rsid w:val="00DE7C91"/>
    <w:rsid w:val="00DF44CE"/>
    <w:rsid w:val="00DF4CB1"/>
    <w:rsid w:val="00DF5FC0"/>
    <w:rsid w:val="00DF69E3"/>
    <w:rsid w:val="00E000BF"/>
    <w:rsid w:val="00E073AD"/>
    <w:rsid w:val="00E07D43"/>
    <w:rsid w:val="00E117F2"/>
    <w:rsid w:val="00E12D19"/>
    <w:rsid w:val="00E15B17"/>
    <w:rsid w:val="00E16E56"/>
    <w:rsid w:val="00E2063A"/>
    <w:rsid w:val="00E23732"/>
    <w:rsid w:val="00E24173"/>
    <w:rsid w:val="00E2505F"/>
    <w:rsid w:val="00E266E8"/>
    <w:rsid w:val="00E26A05"/>
    <w:rsid w:val="00E303D9"/>
    <w:rsid w:val="00E31770"/>
    <w:rsid w:val="00E3337F"/>
    <w:rsid w:val="00E40B30"/>
    <w:rsid w:val="00E41818"/>
    <w:rsid w:val="00E47CE3"/>
    <w:rsid w:val="00E55FB5"/>
    <w:rsid w:val="00E56282"/>
    <w:rsid w:val="00E63992"/>
    <w:rsid w:val="00E63B95"/>
    <w:rsid w:val="00E70B46"/>
    <w:rsid w:val="00E70CED"/>
    <w:rsid w:val="00E72CEA"/>
    <w:rsid w:val="00E73D1E"/>
    <w:rsid w:val="00E764DD"/>
    <w:rsid w:val="00E8384A"/>
    <w:rsid w:val="00E90375"/>
    <w:rsid w:val="00E9043B"/>
    <w:rsid w:val="00E9548B"/>
    <w:rsid w:val="00E954EF"/>
    <w:rsid w:val="00E95891"/>
    <w:rsid w:val="00E95EEE"/>
    <w:rsid w:val="00E9704B"/>
    <w:rsid w:val="00EA22ED"/>
    <w:rsid w:val="00EA4051"/>
    <w:rsid w:val="00EA60E7"/>
    <w:rsid w:val="00EA69DC"/>
    <w:rsid w:val="00EA788F"/>
    <w:rsid w:val="00EB0160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F60C4"/>
    <w:rsid w:val="00F01B6E"/>
    <w:rsid w:val="00F01D5A"/>
    <w:rsid w:val="00F04378"/>
    <w:rsid w:val="00F05767"/>
    <w:rsid w:val="00F06C98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2139"/>
    <w:rsid w:val="00F358E8"/>
    <w:rsid w:val="00F37DB1"/>
    <w:rsid w:val="00F37E0D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716EE"/>
    <w:rsid w:val="00F71AFA"/>
    <w:rsid w:val="00F726EA"/>
    <w:rsid w:val="00F73E95"/>
    <w:rsid w:val="00F7445A"/>
    <w:rsid w:val="00F8154F"/>
    <w:rsid w:val="00F819A5"/>
    <w:rsid w:val="00F81B6C"/>
    <w:rsid w:val="00F82DA4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3</Pages>
  <Words>1030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7812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Czempiñ</cp:lastModifiedBy>
  <cp:revision>187</cp:revision>
  <cp:lastPrinted>2021-04-22T11:00:00Z</cp:lastPrinted>
  <dcterms:created xsi:type="dcterms:W3CDTF">2020-01-13T13:28:00Z</dcterms:created>
  <dcterms:modified xsi:type="dcterms:W3CDTF">2021-04-22T11:01:00Z</dcterms:modified>
</cp:coreProperties>
</file>